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44F" w:rsidRDefault="000C744F" w:rsidP="000C744F">
      <w:pPr>
        <w:pStyle w:val="NormalnyWeb"/>
        <w:rPr>
          <w:rFonts w:asciiTheme="minorHAnsi" w:hAnsiTheme="minorHAnsi" w:cstheme="minorHAnsi"/>
          <w:b/>
          <w:sz w:val="32"/>
          <w:szCs w:val="28"/>
        </w:rPr>
      </w:pPr>
    </w:p>
    <w:p w:rsidR="000B7716" w:rsidRPr="00EA4821" w:rsidRDefault="000B7716" w:rsidP="00374FA0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32"/>
          <w:szCs w:val="28"/>
        </w:rPr>
      </w:pPr>
      <w:r w:rsidRPr="00EA4821">
        <w:rPr>
          <w:rFonts w:asciiTheme="minorHAnsi" w:hAnsiTheme="minorHAnsi" w:cstheme="minorHAnsi"/>
          <w:b/>
          <w:sz w:val="32"/>
          <w:szCs w:val="28"/>
        </w:rPr>
        <w:t>Wydłużenie okresu przejściowego</w:t>
      </w:r>
      <w:r w:rsidR="000C744F">
        <w:rPr>
          <w:rFonts w:asciiTheme="minorHAnsi" w:hAnsiTheme="minorHAnsi" w:cstheme="minorHAnsi"/>
          <w:b/>
          <w:sz w:val="32"/>
          <w:szCs w:val="28"/>
        </w:rPr>
        <w:t xml:space="preserve"> </w:t>
      </w:r>
      <w:r w:rsidR="00374FA0">
        <w:rPr>
          <w:rFonts w:asciiTheme="minorHAnsi" w:hAnsiTheme="minorHAnsi" w:cstheme="minorHAnsi"/>
          <w:b/>
          <w:sz w:val="32"/>
          <w:szCs w:val="28"/>
        </w:rPr>
        <w:br/>
      </w:r>
      <w:r w:rsidRPr="00EA4821">
        <w:rPr>
          <w:rFonts w:asciiTheme="minorHAnsi" w:hAnsiTheme="minorHAnsi" w:cstheme="minorHAnsi"/>
          <w:b/>
          <w:sz w:val="32"/>
          <w:szCs w:val="28"/>
        </w:rPr>
        <w:t xml:space="preserve">dla nowych wartości </w:t>
      </w:r>
      <w:r w:rsidR="00EA4821" w:rsidRPr="00EA4821">
        <w:rPr>
          <w:rFonts w:asciiTheme="minorHAnsi" w:hAnsiTheme="minorHAnsi" w:cstheme="minorHAnsi"/>
          <w:b/>
          <w:sz w:val="32"/>
          <w:szCs w:val="28"/>
        </w:rPr>
        <w:t xml:space="preserve">dopuszczalnego stężenia </w:t>
      </w:r>
      <w:r w:rsidRPr="00EA4821">
        <w:rPr>
          <w:rFonts w:asciiTheme="minorHAnsi" w:hAnsiTheme="minorHAnsi" w:cstheme="minorHAnsi"/>
          <w:b/>
          <w:sz w:val="32"/>
          <w:szCs w:val="28"/>
        </w:rPr>
        <w:t xml:space="preserve">tlenku azotu </w:t>
      </w:r>
      <w:r w:rsidR="00374FA0">
        <w:rPr>
          <w:rFonts w:asciiTheme="minorHAnsi" w:hAnsiTheme="minorHAnsi" w:cstheme="minorHAnsi"/>
          <w:b/>
          <w:sz w:val="32"/>
          <w:szCs w:val="28"/>
        </w:rPr>
        <w:br/>
      </w:r>
      <w:r w:rsidR="00EA4821" w:rsidRPr="00EA4821">
        <w:rPr>
          <w:rFonts w:asciiTheme="minorHAnsi" w:hAnsiTheme="minorHAnsi" w:cstheme="minorHAnsi"/>
          <w:b/>
          <w:sz w:val="32"/>
          <w:szCs w:val="28"/>
        </w:rPr>
        <w:t xml:space="preserve">w </w:t>
      </w:r>
      <w:r w:rsidR="0074759D">
        <w:rPr>
          <w:rFonts w:asciiTheme="minorHAnsi" w:hAnsiTheme="minorHAnsi" w:cstheme="minorHAnsi"/>
          <w:b/>
          <w:sz w:val="32"/>
          <w:szCs w:val="28"/>
        </w:rPr>
        <w:t xml:space="preserve">sektorze górnictwa podziemnego i </w:t>
      </w:r>
      <w:r w:rsidR="00EA4821" w:rsidRPr="00EA4821">
        <w:rPr>
          <w:rFonts w:asciiTheme="minorHAnsi" w:hAnsiTheme="minorHAnsi" w:cstheme="minorHAnsi"/>
          <w:b/>
          <w:sz w:val="32"/>
          <w:szCs w:val="28"/>
        </w:rPr>
        <w:t>budow</w:t>
      </w:r>
      <w:r w:rsidR="0074759D">
        <w:rPr>
          <w:rFonts w:asciiTheme="minorHAnsi" w:hAnsiTheme="minorHAnsi" w:cstheme="minorHAnsi"/>
          <w:b/>
          <w:sz w:val="32"/>
          <w:szCs w:val="28"/>
        </w:rPr>
        <w:t>y</w:t>
      </w:r>
      <w:r w:rsidR="00EA4821" w:rsidRPr="00EA4821">
        <w:rPr>
          <w:rFonts w:asciiTheme="minorHAnsi" w:hAnsiTheme="minorHAnsi" w:cstheme="minorHAnsi"/>
          <w:b/>
          <w:sz w:val="32"/>
          <w:szCs w:val="28"/>
        </w:rPr>
        <w:t xml:space="preserve"> tuneli</w:t>
      </w:r>
    </w:p>
    <w:p w:rsidR="00374FA0" w:rsidRDefault="00374FA0" w:rsidP="00374FA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</w:p>
    <w:p w:rsidR="00EA4821" w:rsidRPr="00EA4821" w:rsidRDefault="008901BF" w:rsidP="00EF072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EA4821">
        <w:rPr>
          <w:rFonts w:asciiTheme="minorHAnsi" w:hAnsiTheme="minorHAnsi" w:cstheme="minorHAnsi"/>
          <w:b/>
        </w:rPr>
        <w:t xml:space="preserve">Na początku lipca br. do konsultacji publicznych został skierowany projekt rozporządzenia zmieniającego rozporządzenie w sprawie najwyższych dopuszczalnych stężeń i natężeń czynników szkodliwych dla zdrowia w środowisku pracy. </w:t>
      </w:r>
      <w:r w:rsidR="00E912D6" w:rsidRPr="00EA4821">
        <w:rPr>
          <w:rFonts w:asciiTheme="minorHAnsi" w:hAnsiTheme="minorHAnsi" w:cstheme="minorHAnsi"/>
          <w:b/>
        </w:rPr>
        <w:t xml:space="preserve">Centralny Instytut Ochrony Pracy – Państwowy Instytut Badawczy </w:t>
      </w:r>
      <w:r w:rsidR="00C61B9D">
        <w:rPr>
          <w:rFonts w:asciiTheme="minorHAnsi" w:hAnsiTheme="minorHAnsi" w:cstheme="minorHAnsi"/>
          <w:b/>
        </w:rPr>
        <w:t xml:space="preserve">(CIOP-PIB) </w:t>
      </w:r>
      <w:r w:rsidR="00E912D6" w:rsidRPr="00EA4821">
        <w:rPr>
          <w:rFonts w:asciiTheme="minorHAnsi" w:hAnsiTheme="minorHAnsi" w:cstheme="minorHAnsi"/>
          <w:b/>
        </w:rPr>
        <w:t>jest jedną z instytucji uczestniczących w procesie opiniowania</w:t>
      </w:r>
      <w:r w:rsidR="00C61B9D">
        <w:rPr>
          <w:rFonts w:asciiTheme="minorHAnsi" w:hAnsiTheme="minorHAnsi" w:cstheme="minorHAnsi"/>
          <w:b/>
        </w:rPr>
        <w:t xml:space="preserve"> tego</w:t>
      </w:r>
      <w:r w:rsidR="00E912D6" w:rsidRPr="00EA4821">
        <w:rPr>
          <w:rFonts w:asciiTheme="minorHAnsi" w:hAnsiTheme="minorHAnsi" w:cstheme="minorHAnsi"/>
          <w:b/>
        </w:rPr>
        <w:t xml:space="preserve"> projektu. </w:t>
      </w:r>
    </w:p>
    <w:p w:rsidR="00374FA0" w:rsidRDefault="00374FA0" w:rsidP="008A033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</w:rPr>
      </w:pPr>
    </w:p>
    <w:p w:rsidR="008901BF" w:rsidRDefault="00E912D6" w:rsidP="008A033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</w:rPr>
      </w:pPr>
      <w:r w:rsidRPr="000C744F">
        <w:rPr>
          <w:rFonts w:asciiTheme="minorHAnsi" w:hAnsiTheme="minorHAnsi" w:cstheme="minorHAnsi"/>
          <w:sz w:val="22"/>
        </w:rPr>
        <w:t>O</w:t>
      </w:r>
      <w:r w:rsidR="008901BF" w:rsidRPr="000C744F">
        <w:rPr>
          <w:rFonts w:asciiTheme="minorHAnsi" w:hAnsiTheme="minorHAnsi" w:cstheme="minorHAnsi"/>
          <w:sz w:val="22"/>
        </w:rPr>
        <w:t xml:space="preserve"> zaopiniowanie</w:t>
      </w:r>
      <w:r w:rsidR="00C61B9D">
        <w:rPr>
          <w:rFonts w:asciiTheme="minorHAnsi" w:hAnsiTheme="minorHAnsi" w:cstheme="minorHAnsi"/>
          <w:sz w:val="22"/>
        </w:rPr>
        <w:t xml:space="preserve"> projektu</w:t>
      </w:r>
      <w:r w:rsidR="008901BF" w:rsidRPr="000C744F">
        <w:rPr>
          <w:rFonts w:asciiTheme="minorHAnsi" w:hAnsiTheme="minorHAnsi" w:cstheme="minorHAnsi"/>
          <w:sz w:val="22"/>
        </w:rPr>
        <w:t xml:space="preserve"> zostały </w:t>
      </w:r>
      <w:r w:rsidRPr="000C744F">
        <w:rPr>
          <w:rFonts w:asciiTheme="minorHAnsi" w:hAnsiTheme="minorHAnsi" w:cstheme="minorHAnsi"/>
          <w:sz w:val="22"/>
        </w:rPr>
        <w:t xml:space="preserve">poproszone również </w:t>
      </w:r>
      <w:r w:rsidR="008901BF" w:rsidRPr="000C744F">
        <w:rPr>
          <w:rFonts w:asciiTheme="minorHAnsi" w:hAnsiTheme="minorHAnsi" w:cstheme="minorHAnsi"/>
          <w:sz w:val="22"/>
        </w:rPr>
        <w:t>związki zawodowe, organizacje pracodawców, Rady Dialogu Społecznego</w:t>
      </w:r>
      <w:r w:rsidRPr="000C744F">
        <w:rPr>
          <w:rFonts w:asciiTheme="minorHAnsi" w:hAnsiTheme="minorHAnsi" w:cstheme="minorHAnsi"/>
          <w:sz w:val="22"/>
        </w:rPr>
        <w:t xml:space="preserve">, </w:t>
      </w:r>
      <w:r w:rsidR="008901BF" w:rsidRPr="000C744F">
        <w:rPr>
          <w:rFonts w:asciiTheme="minorHAnsi" w:hAnsiTheme="minorHAnsi" w:cstheme="minorHAnsi"/>
          <w:sz w:val="22"/>
        </w:rPr>
        <w:t>Komisja Wspólna Rządu i Samorządu Terytorialnego</w:t>
      </w:r>
      <w:r w:rsidRPr="000C744F">
        <w:rPr>
          <w:rFonts w:asciiTheme="minorHAnsi" w:hAnsiTheme="minorHAnsi" w:cstheme="minorHAnsi"/>
          <w:sz w:val="22"/>
        </w:rPr>
        <w:t>, a także Związek</w:t>
      </w:r>
      <w:r w:rsidR="008901BF" w:rsidRPr="000C744F">
        <w:rPr>
          <w:rFonts w:asciiTheme="minorHAnsi" w:hAnsiTheme="minorHAnsi" w:cstheme="minorHAnsi"/>
          <w:sz w:val="22"/>
        </w:rPr>
        <w:t xml:space="preserve"> Pracodawców Polska Miedź</w:t>
      </w:r>
      <w:r w:rsidRPr="000C744F">
        <w:rPr>
          <w:rFonts w:asciiTheme="minorHAnsi" w:hAnsiTheme="minorHAnsi" w:cstheme="minorHAnsi"/>
          <w:sz w:val="22"/>
        </w:rPr>
        <w:t xml:space="preserve"> i </w:t>
      </w:r>
      <w:r w:rsidR="008901BF" w:rsidRPr="000C744F">
        <w:rPr>
          <w:rFonts w:asciiTheme="minorHAnsi" w:hAnsiTheme="minorHAnsi" w:cstheme="minorHAnsi"/>
          <w:sz w:val="22"/>
        </w:rPr>
        <w:t>Polsk</w:t>
      </w:r>
      <w:r w:rsidR="00B164F7">
        <w:rPr>
          <w:rFonts w:asciiTheme="minorHAnsi" w:hAnsiTheme="minorHAnsi" w:cstheme="minorHAnsi"/>
          <w:sz w:val="22"/>
        </w:rPr>
        <w:t>a</w:t>
      </w:r>
      <w:r w:rsidR="008901BF" w:rsidRPr="000C744F">
        <w:rPr>
          <w:rFonts w:asciiTheme="minorHAnsi" w:hAnsiTheme="minorHAnsi" w:cstheme="minorHAnsi"/>
          <w:sz w:val="22"/>
        </w:rPr>
        <w:t xml:space="preserve"> Izb</w:t>
      </w:r>
      <w:r w:rsidR="00B164F7">
        <w:rPr>
          <w:rFonts w:asciiTheme="minorHAnsi" w:hAnsiTheme="minorHAnsi" w:cstheme="minorHAnsi"/>
          <w:sz w:val="22"/>
        </w:rPr>
        <w:t>a</w:t>
      </w:r>
      <w:r w:rsidR="008901BF" w:rsidRPr="000C744F">
        <w:rPr>
          <w:rFonts w:asciiTheme="minorHAnsi" w:hAnsiTheme="minorHAnsi" w:cstheme="minorHAnsi"/>
          <w:sz w:val="22"/>
        </w:rPr>
        <w:t xml:space="preserve"> Przemysłu Chemicznego.</w:t>
      </w:r>
      <w:r w:rsidRPr="000C744F">
        <w:rPr>
          <w:rFonts w:asciiTheme="minorHAnsi" w:hAnsiTheme="minorHAnsi" w:cstheme="minorHAnsi"/>
          <w:sz w:val="22"/>
        </w:rPr>
        <w:t xml:space="preserve"> </w:t>
      </w:r>
    </w:p>
    <w:p w:rsidR="00374FA0" w:rsidRPr="000C744F" w:rsidRDefault="00374FA0" w:rsidP="008A033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</w:rPr>
      </w:pPr>
    </w:p>
    <w:p w:rsidR="00E912D6" w:rsidRDefault="000E01D9" w:rsidP="008A033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</w:rPr>
      </w:pPr>
      <w:r w:rsidRPr="000C744F">
        <w:rPr>
          <w:rFonts w:asciiTheme="minorHAnsi" w:hAnsiTheme="minorHAnsi" w:cstheme="minorHAnsi"/>
          <w:sz w:val="22"/>
        </w:rPr>
        <w:t>Działająca</w:t>
      </w:r>
      <w:r w:rsidR="00E912D6" w:rsidRPr="000C744F">
        <w:rPr>
          <w:rFonts w:asciiTheme="minorHAnsi" w:hAnsiTheme="minorHAnsi" w:cstheme="minorHAnsi"/>
          <w:sz w:val="22"/>
        </w:rPr>
        <w:t xml:space="preserve"> przy </w:t>
      </w:r>
      <w:r w:rsidR="00E506D7">
        <w:rPr>
          <w:rFonts w:asciiTheme="minorHAnsi" w:hAnsiTheme="minorHAnsi" w:cstheme="minorHAnsi"/>
          <w:sz w:val="22"/>
        </w:rPr>
        <w:t xml:space="preserve">CIOP-PIB </w:t>
      </w:r>
      <w:r w:rsidR="005B55FA" w:rsidRPr="000C744F">
        <w:rPr>
          <w:rFonts w:asciiTheme="minorHAnsi" w:hAnsiTheme="minorHAnsi" w:cstheme="minorHAnsi"/>
          <w:sz w:val="22"/>
        </w:rPr>
        <w:t xml:space="preserve">Międzyresortowa </w:t>
      </w:r>
      <w:r w:rsidR="00E912D6" w:rsidRPr="000C744F">
        <w:rPr>
          <w:rFonts w:asciiTheme="minorHAnsi" w:hAnsiTheme="minorHAnsi" w:cstheme="minorHAnsi"/>
          <w:sz w:val="22"/>
        </w:rPr>
        <w:t xml:space="preserve">Komisja ds. Najwyższych Dopuszczalnych Stężeń i Natężeń Czynników Szkodliwych dla Zdrowia w </w:t>
      </w:r>
      <w:r w:rsidR="00E506D7">
        <w:rPr>
          <w:rFonts w:asciiTheme="minorHAnsi" w:hAnsiTheme="minorHAnsi" w:cstheme="minorHAnsi"/>
          <w:sz w:val="22"/>
        </w:rPr>
        <w:t>Ś</w:t>
      </w:r>
      <w:r w:rsidR="00E912D6" w:rsidRPr="000C744F">
        <w:rPr>
          <w:rFonts w:asciiTheme="minorHAnsi" w:hAnsiTheme="minorHAnsi" w:cstheme="minorHAnsi"/>
          <w:sz w:val="22"/>
        </w:rPr>
        <w:t xml:space="preserve">rodowisku </w:t>
      </w:r>
      <w:r w:rsidR="00E506D7">
        <w:rPr>
          <w:rFonts w:asciiTheme="minorHAnsi" w:hAnsiTheme="minorHAnsi" w:cstheme="minorHAnsi"/>
          <w:sz w:val="22"/>
        </w:rPr>
        <w:t>P</w:t>
      </w:r>
      <w:r w:rsidR="00E912D6" w:rsidRPr="000C744F">
        <w:rPr>
          <w:rFonts w:asciiTheme="minorHAnsi" w:hAnsiTheme="minorHAnsi" w:cstheme="minorHAnsi"/>
          <w:sz w:val="22"/>
        </w:rPr>
        <w:t>racy rekomendowała rządowi</w:t>
      </w:r>
      <w:r w:rsidR="00210718">
        <w:rPr>
          <w:rFonts w:asciiTheme="minorHAnsi" w:hAnsiTheme="minorHAnsi" w:cstheme="minorHAnsi"/>
          <w:sz w:val="22"/>
        </w:rPr>
        <w:t xml:space="preserve"> polskiemu</w:t>
      </w:r>
      <w:r w:rsidR="00E912D6" w:rsidRPr="000C744F">
        <w:rPr>
          <w:rFonts w:asciiTheme="minorHAnsi" w:hAnsiTheme="minorHAnsi" w:cstheme="minorHAnsi"/>
          <w:sz w:val="22"/>
        </w:rPr>
        <w:t xml:space="preserve"> przedłużenie obowiązywania obecnych wartości </w:t>
      </w:r>
      <w:r w:rsidR="00D15C66">
        <w:rPr>
          <w:rFonts w:asciiTheme="minorHAnsi" w:hAnsiTheme="minorHAnsi" w:cstheme="minorHAnsi"/>
          <w:sz w:val="22"/>
        </w:rPr>
        <w:t>najwyższego dopuszczalnego stężenia</w:t>
      </w:r>
      <w:r w:rsidR="00982629" w:rsidRPr="00982629">
        <w:rPr>
          <w:rFonts w:asciiTheme="minorHAnsi" w:hAnsiTheme="minorHAnsi" w:cstheme="minorHAnsi"/>
          <w:sz w:val="22"/>
        </w:rPr>
        <w:t xml:space="preserve"> (</w:t>
      </w:r>
      <w:r w:rsidR="00E912D6" w:rsidRPr="000C744F">
        <w:rPr>
          <w:rFonts w:asciiTheme="minorHAnsi" w:hAnsiTheme="minorHAnsi" w:cstheme="minorHAnsi"/>
          <w:sz w:val="22"/>
        </w:rPr>
        <w:t>NDS</w:t>
      </w:r>
      <w:r w:rsidR="00982629">
        <w:rPr>
          <w:rFonts w:asciiTheme="minorHAnsi" w:hAnsiTheme="minorHAnsi" w:cstheme="minorHAnsi"/>
          <w:sz w:val="22"/>
        </w:rPr>
        <w:t>)</w:t>
      </w:r>
      <w:r w:rsidR="00E912D6" w:rsidRPr="000C744F">
        <w:rPr>
          <w:rFonts w:asciiTheme="minorHAnsi" w:hAnsiTheme="minorHAnsi" w:cstheme="minorHAnsi"/>
          <w:sz w:val="22"/>
        </w:rPr>
        <w:t xml:space="preserve"> i </w:t>
      </w:r>
      <w:r w:rsidR="00D15C66">
        <w:rPr>
          <w:rFonts w:asciiTheme="minorHAnsi" w:hAnsiTheme="minorHAnsi" w:cstheme="minorHAnsi"/>
          <w:sz w:val="22"/>
        </w:rPr>
        <w:t>najwyższego dopuszczalnego stężenia chwilowego</w:t>
      </w:r>
      <w:r w:rsidR="00982629">
        <w:rPr>
          <w:rFonts w:asciiTheme="minorHAnsi" w:hAnsiTheme="minorHAnsi" w:cstheme="minorHAnsi"/>
          <w:sz w:val="22"/>
        </w:rPr>
        <w:t xml:space="preserve"> (</w:t>
      </w:r>
      <w:r w:rsidR="00E912D6" w:rsidRPr="000C744F">
        <w:rPr>
          <w:rFonts w:asciiTheme="minorHAnsi" w:hAnsiTheme="minorHAnsi" w:cstheme="minorHAnsi"/>
          <w:sz w:val="22"/>
        </w:rPr>
        <w:t>NDSCh</w:t>
      </w:r>
      <w:r w:rsidR="00982629">
        <w:rPr>
          <w:rFonts w:asciiTheme="minorHAnsi" w:hAnsiTheme="minorHAnsi" w:cstheme="minorHAnsi"/>
          <w:sz w:val="22"/>
        </w:rPr>
        <w:t>)</w:t>
      </w:r>
      <w:r w:rsidR="00E912D6" w:rsidRPr="000C744F">
        <w:rPr>
          <w:rFonts w:asciiTheme="minorHAnsi" w:hAnsiTheme="minorHAnsi" w:cstheme="minorHAnsi"/>
          <w:sz w:val="22"/>
        </w:rPr>
        <w:t xml:space="preserve"> tlenku azotu w </w:t>
      </w:r>
      <w:r w:rsidR="00210718">
        <w:rPr>
          <w:rFonts w:asciiTheme="minorHAnsi" w:hAnsiTheme="minorHAnsi" w:cstheme="minorHAnsi"/>
          <w:sz w:val="22"/>
        </w:rPr>
        <w:t>sektorze górnictwa podziemnego</w:t>
      </w:r>
      <w:r w:rsidR="00E912D6" w:rsidRPr="000C744F">
        <w:rPr>
          <w:rFonts w:asciiTheme="minorHAnsi" w:hAnsiTheme="minorHAnsi" w:cstheme="minorHAnsi"/>
          <w:sz w:val="22"/>
        </w:rPr>
        <w:t xml:space="preserve"> i budow</w:t>
      </w:r>
      <w:r w:rsidR="00210718">
        <w:rPr>
          <w:rFonts w:asciiTheme="minorHAnsi" w:hAnsiTheme="minorHAnsi" w:cstheme="minorHAnsi"/>
          <w:sz w:val="22"/>
        </w:rPr>
        <w:t>y</w:t>
      </w:r>
      <w:r w:rsidR="00E912D6" w:rsidRPr="000C744F">
        <w:rPr>
          <w:rFonts w:asciiTheme="minorHAnsi" w:hAnsiTheme="minorHAnsi" w:cstheme="minorHAnsi"/>
          <w:sz w:val="22"/>
        </w:rPr>
        <w:t xml:space="preserve"> tuneli </w:t>
      </w:r>
      <w:r w:rsidR="003E5127">
        <w:rPr>
          <w:rFonts w:asciiTheme="minorHAnsi" w:hAnsiTheme="minorHAnsi" w:cstheme="minorHAnsi"/>
          <w:sz w:val="22"/>
        </w:rPr>
        <w:t>o</w:t>
      </w:r>
      <w:r w:rsidR="00E912D6" w:rsidRPr="000C744F">
        <w:rPr>
          <w:rFonts w:asciiTheme="minorHAnsi" w:hAnsiTheme="minorHAnsi" w:cstheme="minorHAnsi"/>
          <w:sz w:val="22"/>
        </w:rPr>
        <w:t xml:space="preserve"> kolejne </w:t>
      </w:r>
      <w:r w:rsidR="005C7782">
        <w:rPr>
          <w:rFonts w:asciiTheme="minorHAnsi" w:hAnsiTheme="minorHAnsi" w:cstheme="minorHAnsi"/>
          <w:sz w:val="22"/>
        </w:rPr>
        <w:t>3</w:t>
      </w:r>
      <w:r w:rsidR="00E912D6" w:rsidRPr="000C744F">
        <w:rPr>
          <w:rFonts w:asciiTheme="minorHAnsi" w:hAnsiTheme="minorHAnsi" w:cstheme="minorHAnsi"/>
          <w:sz w:val="22"/>
        </w:rPr>
        <w:t xml:space="preserve"> lata. Podczas 104. posiedzenia Komisji, które odbyło się w połowie marca br.</w:t>
      </w:r>
      <w:r w:rsidR="00BD6034">
        <w:rPr>
          <w:rFonts w:asciiTheme="minorHAnsi" w:hAnsiTheme="minorHAnsi" w:cstheme="minorHAnsi"/>
          <w:sz w:val="22"/>
        </w:rPr>
        <w:t>,</w:t>
      </w:r>
      <w:r w:rsidR="00E912D6" w:rsidRPr="000C744F">
        <w:rPr>
          <w:rFonts w:asciiTheme="minorHAnsi" w:hAnsiTheme="minorHAnsi" w:cstheme="minorHAnsi"/>
          <w:sz w:val="22"/>
        </w:rPr>
        <w:t xml:space="preserve"> przyjęto stanowisko w sprawie przedłużenia okresu przejściowego wejścia w życie wartości dopuszczalnego stężenia tlenku azotu na poziomie 2,5 mg/m</w:t>
      </w:r>
      <w:r w:rsidR="00E912D6" w:rsidRPr="000C744F">
        <w:rPr>
          <w:rFonts w:asciiTheme="minorHAnsi" w:hAnsiTheme="minorHAnsi" w:cstheme="minorHAnsi"/>
          <w:sz w:val="22"/>
          <w:vertAlign w:val="superscript"/>
        </w:rPr>
        <w:t>3</w:t>
      </w:r>
      <w:r w:rsidR="00E912D6" w:rsidRPr="000C744F">
        <w:rPr>
          <w:rFonts w:asciiTheme="minorHAnsi" w:hAnsiTheme="minorHAnsi" w:cstheme="minorHAnsi"/>
          <w:sz w:val="22"/>
        </w:rPr>
        <w:t xml:space="preserve"> do 21 sierpnia 2026 r</w:t>
      </w:r>
      <w:r w:rsidR="00B055F0">
        <w:rPr>
          <w:rFonts w:asciiTheme="minorHAnsi" w:hAnsiTheme="minorHAnsi" w:cstheme="minorHAnsi"/>
          <w:sz w:val="22"/>
        </w:rPr>
        <w:t>oku</w:t>
      </w:r>
      <w:r w:rsidR="00E912D6" w:rsidRPr="000C744F">
        <w:rPr>
          <w:rFonts w:asciiTheme="minorHAnsi" w:hAnsiTheme="minorHAnsi" w:cstheme="minorHAnsi"/>
          <w:sz w:val="22"/>
        </w:rPr>
        <w:t>.</w:t>
      </w:r>
    </w:p>
    <w:p w:rsidR="00374FA0" w:rsidRPr="000C744F" w:rsidRDefault="00374FA0" w:rsidP="008A033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</w:rPr>
      </w:pPr>
    </w:p>
    <w:p w:rsidR="00B309EA" w:rsidRDefault="00B309EA" w:rsidP="008A033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i/>
          <w:sz w:val="22"/>
        </w:rPr>
      </w:pPr>
      <w:r w:rsidRPr="000C744F">
        <w:rPr>
          <w:rFonts w:asciiTheme="minorHAnsi" w:hAnsiTheme="minorHAnsi" w:cstheme="minorHAnsi"/>
          <w:i/>
          <w:sz w:val="22"/>
        </w:rPr>
        <w:t xml:space="preserve">Tlenek azotu jest substancją </w:t>
      </w:r>
      <w:proofErr w:type="spellStart"/>
      <w:r w:rsidRPr="000C744F">
        <w:rPr>
          <w:rFonts w:asciiTheme="minorHAnsi" w:hAnsiTheme="minorHAnsi" w:cstheme="minorHAnsi"/>
          <w:i/>
          <w:sz w:val="22"/>
        </w:rPr>
        <w:t>methemoglobinotwórczą</w:t>
      </w:r>
      <w:proofErr w:type="spellEnd"/>
      <w:r w:rsidRPr="000C744F">
        <w:rPr>
          <w:rFonts w:asciiTheme="minorHAnsi" w:hAnsiTheme="minorHAnsi" w:cstheme="minorHAnsi"/>
          <w:i/>
          <w:sz w:val="22"/>
        </w:rPr>
        <w:t xml:space="preserve"> i </w:t>
      </w:r>
      <w:proofErr w:type="spellStart"/>
      <w:r w:rsidRPr="000C744F">
        <w:rPr>
          <w:rFonts w:asciiTheme="minorHAnsi" w:hAnsiTheme="minorHAnsi" w:cstheme="minorHAnsi"/>
          <w:i/>
          <w:sz w:val="22"/>
        </w:rPr>
        <w:t>nitrozylohemoglobinotwórczą</w:t>
      </w:r>
      <w:proofErr w:type="spellEnd"/>
      <w:r w:rsidRPr="000C744F">
        <w:rPr>
          <w:rFonts w:asciiTheme="minorHAnsi" w:hAnsiTheme="minorHAnsi" w:cstheme="minorHAnsi"/>
          <w:i/>
          <w:sz w:val="22"/>
        </w:rPr>
        <w:t>, działającą szkodliwie na układ oddechowy</w:t>
      </w:r>
      <w:r w:rsidR="00374FA0">
        <w:rPr>
          <w:rFonts w:asciiTheme="minorHAnsi" w:hAnsiTheme="minorHAnsi" w:cstheme="minorHAnsi"/>
          <w:i/>
          <w:sz w:val="22"/>
        </w:rPr>
        <w:t xml:space="preserve"> </w:t>
      </w:r>
      <w:r w:rsidR="009802FE">
        <w:rPr>
          <w:rFonts w:asciiTheme="minorHAnsi" w:hAnsiTheme="minorHAnsi" w:cstheme="minorHAnsi"/>
          <w:i/>
          <w:sz w:val="22"/>
        </w:rPr>
        <w:t>–</w:t>
      </w:r>
      <w:r w:rsidR="00374FA0">
        <w:rPr>
          <w:rFonts w:asciiTheme="minorHAnsi" w:hAnsiTheme="minorHAnsi" w:cstheme="minorHAnsi"/>
          <w:i/>
          <w:sz w:val="22"/>
        </w:rPr>
        <w:t xml:space="preserve"> </w:t>
      </w:r>
      <w:r w:rsidR="00374FA0" w:rsidRPr="000C744F">
        <w:rPr>
          <w:rFonts w:asciiTheme="minorHAnsi" w:hAnsiTheme="minorHAnsi" w:cstheme="minorHAnsi"/>
          <w:sz w:val="22"/>
        </w:rPr>
        <w:t>argumentowano</w:t>
      </w:r>
      <w:r w:rsidR="00374FA0" w:rsidRPr="00374FA0">
        <w:rPr>
          <w:rFonts w:asciiTheme="minorHAnsi" w:hAnsiTheme="minorHAnsi" w:cstheme="minorHAnsi"/>
          <w:sz w:val="22"/>
        </w:rPr>
        <w:t xml:space="preserve"> </w:t>
      </w:r>
      <w:r w:rsidR="00374FA0">
        <w:rPr>
          <w:rFonts w:asciiTheme="minorHAnsi" w:hAnsiTheme="minorHAnsi" w:cstheme="minorHAnsi"/>
          <w:sz w:val="22"/>
        </w:rPr>
        <w:t>w</w:t>
      </w:r>
      <w:r w:rsidR="00374FA0" w:rsidRPr="000C744F">
        <w:rPr>
          <w:rFonts w:asciiTheme="minorHAnsi" w:hAnsiTheme="minorHAnsi" w:cstheme="minorHAnsi"/>
          <w:sz w:val="22"/>
        </w:rPr>
        <w:t xml:space="preserve"> stanowisku Komisji</w:t>
      </w:r>
      <w:r w:rsidRPr="000C744F">
        <w:rPr>
          <w:rFonts w:asciiTheme="minorHAnsi" w:hAnsiTheme="minorHAnsi" w:cstheme="minorHAnsi"/>
          <w:i/>
          <w:sz w:val="22"/>
        </w:rPr>
        <w:t>.</w:t>
      </w:r>
      <w:r w:rsidR="00466CC6">
        <w:rPr>
          <w:rFonts w:asciiTheme="minorHAnsi" w:hAnsiTheme="minorHAnsi" w:cstheme="minorHAnsi"/>
          <w:i/>
          <w:sz w:val="22"/>
        </w:rPr>
        <w:t xml:space="preserve"> </w:t>
      </w:r>
      <w:r w:rsidRPr="000C744F">
        <w:rPr>
          <w:rFonts w:asciiTheme="minorHAnsi" w:hAnsiTheme="minorHAnsi" w:cstheme="minorHAnsi"/>
          <w:i/>
          <w:sz w:val="22"/>
        </w:rPr>
        <w:t>Ostatnie wyniki badań przeprowadzonych w kopalniach węgla kamiennego oraz w kopalniach soli kamiennej (w Niemczech) wskazały na konieczność zaostrzenia wartości dopuszczalnego stężenia dla tlenku azotu. Przyjęto wskaźnikową wartość dopuszczalną na poziomie 2,5 mg/m</w:t>
      </w:r>
      <w:r w:rsidRPr="000C744F">
        <w:rPr>
          <w:rFonts w:asciiTheme="minorHAnsi" w:hAnsiTheme="minorHAnsi" w:cstheme="minorHAnsi"/>
          <w:i/>
          <w:sz w:val="22"/>
          <w:vertAlign w:val="superscript"/>
        </w:rPr>
        <w:t>3</w:t>
      </w:r>
      <w:r w:rsidRPr="000C744F">
        <w:rPr>
          <w:rFonts w:asciiTheme="minorHAnsi" w:hAnsiTheme="minorHAnsi" w:cstheme="minorHAnsi"/>
          <w:i/>
          <w:sz w:val="22"/>
        </w:rPr>
        <w:t xml:space="preserve"> (2 ppm) bez ustalenia wartości krótkoterminowej (NDSCh). Taka wartość, zgodnie z prawem UE, czyli dyrektywą 2017/164/UE, musi być transponowana do prawa polskiego w terminie przewidzianym w dyrektywie oraz rozporządzeniu </w:t>
      </w:r>
      <w:proofErr w:type="spellStart"/>
      <w:r w:rsidRPr="000C744F">
        <w:rPr>
          <w:rFonts w:asciiTheme="minorHAnsi" w:hAnsiTheme="minorHAnsi" w:cstheme="minorHAnsi"/>
          <w:i/>
          <w:sz w:val="22"/>
        </w:rPr>
        <w:t>MRPiPS</w:t>
      </w:r>
      <w:proofErr w:type="spellEnd"/>
      <w:r w:rsidRPr="000C744F">
        <w:rPr>
          <w:rFonts w:asciiTheme="minorHAnsi" w:hAnsiTheme="minorHAnsi" w:cstheme="minorHAnsi"/>
          <w:i/>
          <w:sz w:val="22"/>
        </w:rPr>
        <w:t xml:space="preserve"> z dnia 12 czerwca 2018 r. (Dz.U. poz. 1286), tj. do 21 sierpnia 2023 r</w:t>
      </w:r>
      <w:r w:rsidR="00240CD2">
        <w:rPr>
          <w:rFonts w:asciiTheme="minorHAnsi" w:hAnsiTheme="minorHAnsi" w:cstheme="minorHAnsi"/>
          <w:i/>
          <w:sz w:val="22"/>
        </w:rPr>
        <w:t>oku</w:t>
      </w:r>
      <w:r w:rsidRPr="000C744F">
        <w:rPr>
          <w:rFonts w:asciiTheme="minorHAnsi" w:hAnsiTheme="minorHAnsi" w:cstheme="minorHAnsi"/>
          <w:i/>
          <w:sz w:val="22"/>
        </w:rPr>
        <w:t>. Biorąc pod uwagę problemy z wdrożeniem dopuszczalnej wartości dla tlenku azotu w sektorze górnictwa podziemnego i budowy tuneli, uznano, że należy wydłużyć okres przejściowy o 3 lata, a rozpoczęte przedsięwzięcia techniczne, technologiczne, organizacyjne oraz czas ich realizacji z uwzględnieniem najlepszych praktyk i dostępnych technologii w celu ograniczenia narażenia na tlenek azotu występujący w podziemnych wyrobiskach górniczych i przy budowie tuneli umożliwią osiągnięcie wartości przyjętej, zgodnie z dyrektywą 2017/164/UE, tj. 2,5 mg/m</w:t>
      </w:r>
      <w:r w:rsidRPr="000C744F">
        <w:rPr>
          <w:rFonts w:asciiTheme="minorHAnsi" w:hAnsiTheme="minorHAnsi" w:cstheme="minorHAnsi"/>
          <w:i/>
          <w:sz w:val="22"/>
          <w:vertAlign w:val="superscript"/>
        </w:rPr>
        <w:t>3</w:t>
      </w:r>
      <w:r w:rsidRPr="000C744F">
        <w:rPr>
          <w:rFonts w:asciiTheme="minorHAnsi" w:hAnsiTheme="minorHAnsi" w:cstheme="minorHAnsi"/>
          <w:i/>
          <w:sz w:val="22"/>
        </w:rPr>
        <w:t>. Termin: 2026 rok.</w:t>
      </w:r>
      <w:r w:rsidR="007A4516" w:rsidRPr="000C744F">
        <w:rPr>
          <w:rFonts w:asciiTheme="minorHAnsi" w:hAnsiTheme="minorHAnsi" w:cstheme="minorHAnsi"/>
          <w:i/>
          <w:sz w:val="22"/>
        </w:rPr>
        <w:t xml:space="preserve"> </w:t>
      </w:r>
    </w:p>
    <w:p w:rsidR="00374FA0" w:rsidRPr="000C744F" w:rsidRDefault="00374FA0" w:rsidP="008A033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i/>
          <w:sz w:val="22"/>
        </w:rPr>
      </w:pPr>
    </w:p>
    <w:p w:rsidR="00B040E1" w:rsidRDefault="00B040E1" w:rsidP="008A0336">
      <w:pPr>
        <w:spacing w:after="0" w:line="240" w:lineRule="auto"/>
        <w:jc w:val="both"/>
        <w:rPr>
          <w:rFonts w:cstheme="minorHAnsi"/>
          <w:szCs w:val="24"/>
        </w:rPr>
      </w:pPr>
      <w:r w:rsidRPr="000C744F">
        <w:rPr>
          <w:rFonts w:cstheme="minorHAnsi"/>
          <w:szCs w:val="24"/>
        </w:rPr>
        <w:t>Za przyjęciem stanowiska Komisj</w:t>
      </w:r>
      <w:r>
        <w:rPr>
          <w:rFonts w:cstheme="minorHAnsi"/>
          <w:szCs w:val="24"/>
        </w:rPr>
        <w:t>i</w:t>
      </w:r>
      <w:r w:rsidRPr="000C744F">
        <w:rPr>
          <w:rFonts w:cstheme="minorHAnsi"/>
          <w:szCs w:val="24"/>
        </w:rPr>
        <w:t xml:space="preserve"> jednogłośnie zagłosowali obecni na posiedzeniu przedstawiciele administracji rządowej, związków zawodowych, organizacji pracodawców oraz świata nauki.</w:t>
      </w:r>
    </w:p>
    <w:p w:rsidR="00B040E1" w:rsidRDefault="00B040E1" w:rsidP="008A0336">
      <w:p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cstheme="minorHAnsi"/>
          <w:b w:val="0"/>
          <w:szCs w:val="24"/>
        </w:rPr>
      </w:pPr>
    </w:p>
    <w:p w:rsidR="00374FA0" w:rsidRDefault="00E3208C" w:rsidP="008A033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4"/>
        </w:rPr>
      </w:pPr>
      <w:r w:rsidRPr="000C744F">
        <w:rPr>
          <w:rStyle w:val="Pogrubienie"/>
          <w:rFonts w:cstheme="minorHAnsi"/>
          <w:b w:val="0"/>
          <w:szCs w:val="24"/>
        </w:rPr>
        <w:t>Tlenek azotu</w:t>
      </w:r>
      <w:r w:rsidRPr="008A0336">
        <w:rPr>
          <w:rFonts w:cstheme="minorHAnsi"/>
          <w:szCs w:val="24"/>
        </w:rPr>
        <w:t xml:space="preserve"> </w:t>
      </w:r>
      <w:r w:rsidR="00B17503" w:rsidRPr="008A0336">
        <w:rPr>
          <w:rFonts w:cstheme="minorHAnsi"/>
          <w:szCs w:val="24"/>
        </w:rPr>
        <w:t>(</w:t>
      </w:r>
      <w:r w:rsidRPr="000C744F">
        <w:rPr>
          <w:rFonts w:cstheme="minorHAnsi"/>
          <w:szCs w:val="24"/>
        </w:rPr>
        <w:t>NO</w:t>
      </w:r>
      <w:r w:rsidR="00B17503">
        <w:rPr>
          <w:rFonts w:cstheme="minorHAnsi"/>
          <w:szCs w:val="24"/>
        </w:rPr>
        <w:t>)</w:t>
      </w:r>
      <w:r w:rsidRPr="000C744F">
        <w:rPr>
          <w:rFonts w:cstheme="minorHAnsi"/>
          <w:szCs w:val="24"/>
        </w:rPr>
        <w:t xml:space="preserve">  jest nieorganicznym związkiem chemicznym z grupy tlenków azotu,  który w powietrzu samorzutnie reaguje z tlenem, tworząc </w:t>
      </w:r>
      <w:r w:rsidRPr="000C744F">
        <w:rPr>
          <w:rStyle w:val="Pogrubienie"/>
          <w:rFonts w:cstheme="minorHAnsi"/>
          <w:szCs w:val="24"/>
        </w:rPr>
        <w:t xml:space="preserve">trujący </w:t>
      </w:r>
      <w:proofErr w:type="spellStart"/>
      <w:r w:rsidRPr="000C744F">
        <w:rPr>
          <w:rStyle w:val="Pogrubienie"/>
          <w:rFonts w:cstheme="minorHAnsi"/>
          <w:szCs w:val="24"/>
        </w:rPr>
        <w:t>d</w:t>
      </w:r>
      <w:r w:rsidR="002D5661">
        <w:rPr>
          <w:rStyle w:val="Pogrubienie"/>
          <w:rFonts w:cstheme="minorHAnsi"/>
          <w:szCs w:val="24"/>
        </w:rPr>
        <w:t>i</w:t>
      </w:r>
      <w:r w:rsidRPr="000C744F">
        <w:rPr>
          <w:rStyle w:val="Pogrubienie"/>
          <w:rFonts w:cstheme="minorHAnsi"/>
          <w:szCs w:val="24"/>
        </w:rPr>
        <w:t>tlenek</w:t>
      </w:r>
      <w:proofErr w:type="spellEnd"/>
      <w:r w:rsidRPr="000C744F">
        <w:rPr>
          <w:rStyle w:val="Pogrubienie"/>
          <w:rFonts w:cstheme="minorHAnsi"/>
          <w:szCs w:val="24"/>
        </w:rPr>
        <w:t xml:space="preserve"> azotu </w:t>
      </w:r>
      <w:r w:rsidR="00B17503">
        <w:rPr>
          <w:rStyle w:val="Pogrubienie"/>
          <w:rFonts w:cstheme="minorHAnsi"/>
          <w:szCs w:val="24"/>
        </w:rPr>
        <w:t>(</w:t>
      </w:r>
      <w:r w:rsidRPr="000C744F">
        <w:rPr>
          <w:rStyle w:val="Pogrubienie"/>
          <w:rFonts w:cstheme="minorHAnsi"/>
          <w:szCs w:val="24"/>
        </w:rPr>
        <w:t>NO</w:t>
      </w:r>
      <w:r w:rsidRPr="000C744F">
        <w:rPr>
          <w:rStyle w:val="Pogrubienie"/>
          <w:rFonts w:cstheme="minorHAnsi"/>
          <w:szCs w:val="24"/>
          <w:vertAlign w:val="subscript"/>
        </w:rPr>
        <w:t>2</w:t>
      </w:r>
      <w:r w:rsidR="00B17503">
        <w:rPr>
          <w:rStyle w:val="Pogrubienie"/>
          <w:rFonts w:cstheme="minorHAnsi"/>
          <w:szCs w:val="24"/>
        </w:rPr>
        <w:t>)</w:t>
      </w:r>
      <w:r w:rsidRPr="000C744F">
        <w:rPr>
          <w:rFonts w:cstheme="minorHAnsi"/>
          <w:szCs w:val="24"/>
        </w:rPr>
        <w:t xml:space="preserve">. </w:t>
      </w:r>
      <w:r w:rsidRPr="000C744F">
        <w:rPr>
          <w:rFonts w:cstheme="minorHAnsi"/>
        </w:rPr>
        <w:t xml:space="preserve">Jego przedostawanie się do atmosfery </w:t>
      </w:r>
      <w:r w:rsidRPr="000C744F">
        <w:rPr>
          <w:rFonts w:cstheme="minorHAnsi"/>
          <w:szCs w:val="24"/>
        </w:rPr>
        <w:t>wynika zarówno z czynników naturalnych, jak i powiązanych z działalnością człowieka</w:t>
      </w:r>
      <w:r w:rsidRPr="000C744F">
        <w:rPr>
          <w:rFonts w:cstheme="minorHAnsi"/>
        </w:rPr>
        <w:t xml:space="preserve">, jednak te naturalnie (powstające podczas </w:t>
      </w:r>
      <w:r w:rsidRPr="000C744F">
        <w:rPr>
          <w:rFonts w:cstheme="minorHAnsi"/>
          <w:szCs w:val="24"/>
        </w:rPr>
        <w:t>wybuch</w:t>
      </w:r>
      <w:r w:rsidRPr="000C744F">
        <w:rPr>
          <w:rFonts w:cstheme="minorHAnsi"/>
        </w:rPr>
        <w:t>ów</w:t>
      </w:r>
      <w:r w:rsidRPr="000C744F">
        <w:rPr>
          <w:rFonts w:cstheme="minorHAnsi"/>
          <w:szCs w:val="24"/>
        </w:rPr>
        <w:t xml:space="preserve"> wulkanów, wyładowa</w:t>
      </w:r>
      <w:r w:rsidRPr="000C744F">
        <w:rPr>
          <w:rFonts w:cstheme="minorHAnsi"/>
        </w:rPr>
        <w:t>ń</w:t>
      </w:r>
      <w:r w:rsidRPr="000C744F">
        <w:rPr>
          <w:rFonts w:cstheme="minorHAnsi"/>
          <w:szCs w:val="24"/>
        </w:rPr>
        <w:t xml:space="preserve"> elektrostatyczn</w:t>
      </w:r>
      <w:r w:rsidRPr="000C744F">
        <w:rPr>
          <w:rFonts w:cstheme="minorHAnsi"/>
        </w:rPr>
        <w:t>ych</w:t>
      </w:r>
      <w:r w:rsidRPr="000C744F">
        <w:rPr>
          <w:rFonts w:cstheme="minorHAnsi"/>
          <w:szCs w:val="24"/>
        </w:rPr>
        <w:t xml:space="preserve"> czy też </w:t>
      </w:r>
      <w:r w:rsidRPr="000C744F">
        <w:rPr>
          <w:rFonts w:cstheme="minorHAnsi"/>
        </w:rPr>
        <w:t xml:space="preserve">w </w:t>
      </w:r>
      <w:r w:rsidRPr="000C744F">
        <w:rPr>
          <w:rFonts w:cstheme="minorHAnsi"/>
          <w:szCs w:val="24"/>
        </w:rPr>
        <w:t>efek</w:t>
      </w:r>
      <w:r w:rsidRPr="000C744F">
        <w:rPr>
          <w:rFonts w:cstheme="minorHAnsi"/>
        </w:rPr>
        <w:t>cie</w:t>
      </w:r>
      <w:r w:rsidRPr="000C744F">
        <w:rPr>
          <w:rFonts w:cstheme="minorHAnsi"/>
          <w:szCs w:val="24"/>
        </w:rPr>
        <w:t xml:space="preserve"> działalności mikroorganizmów</w:t>
      </w:r>
      <w:r w:rsidRPr="000C744F">
        <w:rPr>
          <w:rFonts w:cstheme="minorHAnsi"/>
        </w:rPr>
        <w:t xml:space="preserve">) </w:t>
      </w:r>
      <w:r w:rsidRPr="000C744F">
        <w:rPr>
          <w:rFonts w:cstheme="minorHAnsi"/>
          <w:szCs w:val="24"/>
        </w:rPr>
        <w:t>nie stanowią dla człowieka</w:t>
      </w:r>
      <w:r w:rsidRPr="000C744F">
        <w:rPr>
          <w:rFonts w:cstheme="minorHAnsi"/>
        </w:rPr>
        <w:t xml:space="preserve"> </w:t>
      </w:r>
      <w:r w:rsidRPr="000C744F">
        <w:rPr>
          <w:rFonts w:cstheme="minorHAnsi"/>
          <w:szCs w:val="24"/>
        </w:rPr>
        <w:t xml:space="preserve">istotnego zagrożenia. </w:t>
      </w:r>
    </w:p>
    <w:p w:rsidR="00374FA0" w:rsidRDefault="00374FA0" w:rsidP="008A033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4"/>
        </w:rPr>
      </w:pPr>
    </w:p>
    <w:p w:rsidR="00E3208C" w:rsidRDefault="00240CD2" w:rsidP="008A0336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</w:rPr>
      </w:pPr>
      <w:r>
        <w:rPr>
          <w:rFonts w:cstheme="minorHAnsi"/>
        </w:rPr>
        <w:lastRenderedPageBreak/>
        <w:t>Realnie</w:t>
      </w:r>
      <w:r w:rsidR="00E3208C" w:rsidRPr="000C744F">
        <w:rPr>
          <w:rFonts w:cstheme="minorHAnsi"/>
        </w:rPr>
        <w:t xml:space="preserve"> niebezpieczne dla zdrowia człowieka są natomiast tlenki azotu powstające w </w:t>
      </w:r>
      <w:r w:rsidR="00B17503">
        <w:rPr>
          <w:rFonts w:cstheme="minorHAnsi"/>
        </w:rPr>
        <w:t>wyniku</w:t>
      </w:r>
      <w:r w:rsidR="00E3208C" w:rsidRPr="000C744F">
        <w:rPr>
          <w:rFonts w:cstheme="minorHAnsi"/>
        </w:rPr>
        <w:t xml:space="preserve"> działalności człowieka, a szczególnie </w:t>
      </w:r>
      <w:r w:rsidR="00E3208C" w:rsidRPr="000C744F">
        <w:rPr>
          <w:rStyle w:val="Pogrubienie"/>
          <w:rFonts w:cstheme="minorHAnsi"/>
          <w:b w:val="0"/>
          <w:szCs w:val="24"/>
        </w:rPr>
        <w:t>emi</w:t>
      </w:r>
      <w:r w:rsidR="00E3208C" w:rsidRPr="000C744F">
        <w:rPr>
          <w:rStyle w:val="Pogrubienie"/>
          <w:rFonts w:cstheme="minorHAnsi"/>
          <w:b w:val="0"/>
        </w:rPr>
        <w:t xml:space="preserve">towane </w:t>
      </w:r>
      <w:r w:rsidR="00E3208C" w:rsidRPr="000C744F">
        <w:rPr>
          <w:rStyle w:val="Pogrubienie"/>
          <w:rFonts w:cstheme="minorHAnsi"/>
          <w:b w:val="0"/>
          <w:szCs w:val="24"/>
        </w:rPr>
        <w:t>do powietrza</w:t>
      </w:r>
      <w:r w:rsidR="00E3208C" w:rsidRPr="000C744F">
        <w:rPr>
          <w:rStyle w:val="Pogrubienie"/>
          <w:rFonts w:cstheme="minorHAnsi"/>
          <w:b w:val="0"/>
        </w:rPr>
        <w:t xml:space="preserve"> </w:t>
      </w:r>
      <w:r w:rsidR="00E3208C" w:rsidRPr="000C744F">
        <w:rPr>
          <w:rStyle w:val="Pogrubienie"/>
          <w:rFonts w:cstheme="minorHAnsi"/>
          <w:b w:val="0"/>
          <w:szCs w:val="24"/>
        </w:rPr>
        <w:t xml:space="preserve">przez </w:t>
      </w:r>
      <w:r w:rsidR="00E3208C" w:rsidRPr="000C744F">
        <w:rPr>
          <w:rStyle w:val="Pogrubienie"/>
          <w:rFonts w:cstheme="minorHAnsi"/>
          <w:b w:val="0"/>
        </w:rPr>
        <w:t>pojazdy</w:t>
      </w:r>
      <w:r w:rsidR="00E3208C" w:rsidRPr="000C744F">
        <w:rPr>
          <w:rStyle w:val="Pogrubienie"/>
          <w:rFonts w:cstheme="minorHAnsi"/>
          <w:b w:val="0"/>
          <w:szCs w:val="24"/>
        </w:rPr>
        <w:t xml:space="preserve"> z silnikiem Diesla</w:t>
      </w:r>
      <w:r w:rsidR="00900551" w:rsidRPr="000C744F">
        <w:rPr>
          <w:rStyle w:val="Pogrubienie"/>
          <w:rFonts w:cstheme="minorHAnsi"/>
          <w:b w:val="0"/>
        </w:rPr>
        <w:t xml:space="preserve"> (najczęściej stosowane </w:t>
      </w:r>
      <w:r w:rsidR="00E3208C" w:rsidRPr="000C744F">
        <w:rPr>
          <w:rFonts w:cstheme="minorHAnsi"/>
        </w:rPr>
        <w:t>w zakładach górniczych</w:t>
      </w:r>
      <w:r w:rsidR="00900551" w:rsidRPr="000C744F">
        <w:rPr>
          <w:rFonts w:cstheme="minorHAnsi"/>
        </w:rPr>
        <w:t xml:space="preserve">). </w:t>
      </w:r>
      <w:r w:rsidR="00E3208C" w:rsidRPr="000C744F">
        <w:rPr>
          <w:rFonts w:cstheme="minorHAnsi"/>
        </w:rPr>
        <w:t xml:space="preserve"> </w:t>
      </w:r>
      <w:r w:rsidR="00900551" w:rsidRPr="000C744F">
        <w:rPr>
          <w:rFonts w:cstheme="minorHAnsi"/>
        </w:rPr>
        <w:t>Warunk</w:t>
      </w:r>
      <w:r w:rsidR="00D17806">
        <w:rPr>
          <w:rFonts w:cstheme="minorHAnsi"/>
        </w:rPr>
        <w:t>ami</w:t>
      </w:r>
      <w:r w:rsidR="00900551" w:rsidRPr="000C744F">
        <w:rPr>
          <w:rFonts w:cstheme="minorHAnsi"/>
        </w:rPr>
        <w:t xml:space="preserve"> sprzyjającym</w:t>
      </w:r>
      <w:r w:rsidR="00D17806">
        <w:rPr>
          <w:rFonts w:cstheme="minorHAnsi"/>
        </w:rPr>
        <w:t>i</w:t>
      </w:r>
      <w:r w:rsidR="00900551" w:rsidRPr="000C744F">
        <w:rPr>
          <w:rFonts w:cstheme="minorHAnsi"/>
        </w:rPr>
        <w:t xml:space="preserve"> tworzeniu </w:t>
      </w:r>
      <w:r w:rsidR="00D17806">
        <w:rPr>
          <w:rFonts w:cstheme="minorHAnsi"/>
        </w:rPr>
        <w:t xml:space="preserve">się </w:t>
      </w:r>
      <w:r w:rsidR="00900551" w:rsidRPr="000C744F">
        <w:rPr>
          <w:rFonts w:cstheme="minorHAnsi"/>
        </w:rPr>
        <w:t xml:space="preserve">tlenków azotu w komorze spalania silnika </w:t>
      </w:r>
      <w:r w:rsidR="00900551" w:rsidRPr="000C744F">
        <w:rPr>
          <w:rStyle w:val="Pogrubienie"/>
          <w:rFonts w:cstheme="minorHAnsi"/>
          <w:b w:val="0"/>
          <w:szCs w:val="24"/>
        </w:rPr>
        <w:t>Diesla</w:t>
      </w:r>
      <w:r w:rsidR="00900551" w:rsidRPr="000C744F">
        <w:rPr>
          <w:rStyle w:val="Pogrubienie"/>
          <w:rFonts w:cstheme="minorHAnsi"/>
          <w:b w:val="0"/>
        </w:rPr>
        <w:t xml:space="preserve"> </w:t>
      </w:r>
      <w:r w:rsidR="00D17806">
        <w:rPr>
          <w:rFonts w:cstheme="minorHAnsi"/>
        </w:rPr>
        <w:t>są</w:t>
      </w:r>
      <w:r w:rsidR="00900551" w:rsidRPr="000C744F">
        <w:rPr>
          <w:rFonts w:cstheme="minorHAnsi"/>
        </w:rPr>
        <w:t xml:space="preserve"> wysoka temperatura przebiegu procesu spalania oraz dostateczna dostępność tlenu.</w:t>
      </w:r>
      <w:r w:rsidR="00374FA0">
        <w:rPr>
          <w:rFonts w:cstheme="minorHAnsi"/>
        </w:rPr>
        <w:t xml:space="preserve"> </w:t>
      </w:r>
      <w:r w:rsidR="00374FA0" w:rsidRPr="00934F74">
        <w:rPr>
          <w:rFonts w:cs="Calibri,Bold"/>
          <w:bCs/>
        </w:rPr>
        <w:t>Szacuje się, że obecnie w krajach UE narażenie zawodowe na spaliny emitowane z silników Diesla dotyczy ok. 12 mln ludzi, a do 2060 r</w:t>
      </w:r>
      <w:r w:rsidR="00D17806">
        <w:rPr>
          <w:rFonts w:cs="Calibri,Bold"/>
          <w:bCs/>
        </w:rPr>
        <w:t>oku</w:t>
      </w:r>
      <w:r w:rsidR="00374FA0" w:rsidRPr="00934F74">
        <w:rPr>
          <w:rFonts w:cs="Calibri,Bold"/>
          <w:bCs/>
        </w:rPr>
        <w:t xml:space="preserve"> narażonych będzie nawet ok. 20 mln ludzi. </w:t>
      </w:r>
    </w:p>
    <w:p w:rsidR="00374FA0" w:rsidRPr="00374FA0" w:rsidRDefault="00374FA0" w:rsidP="00374FA0">
      <w:pPr>
        <w:autoSpaceDE w:val="0"/>
        <w:autoSpaceDN w:val="0"/>
        <w:adjustRightInd w:val="0"/>
        <w:spacing w:after="0" w:line="240" w:lineRule="auto"/>
        <w:rPr>
          <w:rFonts w:cs="Calibri,Bold"/>
          <w:bCs/>
        </w:rPr>
      </w:pPr>
    </w:p>
    <w:p w:rsidR="00374FA0" w:rsidRDefault="00374FA0" w:rsidP="00374FA0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</w:rPr>
        <w:drawing>
          <wp:inline distT="0" distB="0" distL="0" distR="0" wp14:anchorId="659A68C9" wp14:editId="6FB2D9F5">
            <wp:extent cx="5717540" cy="3812954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blizenie-na-cztery-nowo-wymienione-dysze-w-samochodowym-silniku-wysokoprezny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2769" cy="3816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FA0" w:rsidRPr="000C744F" w:rsidRDefault="00374FA0" w:rsidP="00374FA0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Fot. </w:t>
      </w:r>
      <w:proofErr w:type="spellStart"/>
      <w:r w:rsidRPr="00374FA0">
        <w:rPr>
          <w:rFonts w:asciiTheme="minorHAnsi" w:hAnsiTheme="minorHAnsi" w:cstheme="minorHAnsi"/>
          <w:sz w:val="22"/>
        </w:rPr>
        <w:t>ArtPhoto_studio</w:t>
      </w:r>
      <w:proofErr w:type="spellEnd"/>
      <w:r>
        <w:rPr>
          <w:rFonts w:asciiTheme="minorHAnsi" w:hAnsiTheme="minorHAnsi" w:cstheme="minorHAnsi"/>
          <w:sz w:val="22"/>
        </w:rPr>
        <w:t xml:space="preserve">, </w:t>
      </w:r>
      <w:r w:rsidRPr="00374FA0">
        <w:rPr>
          <w:rFonts w:asciiTheme="minorHAnsi" w:hAnsiTheme="minorHAnsi" w:cstheme="minorHAnsi"/>
          <w:sz w:val="22"/>
        </w:rPr>
        <w:t>https://pl.freepik.com</w:t>
      </w:r>
    </w:p>
    <w:p w:rsidR="00374FA0" w:rsidRDefault="00374FA0" w:rsidP="00374FA0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</w:rPr>
      </w:pPr>
    </w:p>
    <w:p w:rsidR="00E3208C" w:rsidRPr="00B227CA" w:rsidRDefault="00A04188" w:rsidP="008A033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</w:rPr>
        <w:t>Rozumiejąc wagę problemu, jaki stanowi narażenie pracowników na szkodliwe tlenki azotu</w:t>
      </w:r>
      <w:r w:rsidR="00A93A41">
        <w:rPr>
          <w:rFonts w:asciiTheme="minorHAnsi" w:hAnsiTheme="minorHAnsi" w:cstheme="minorHAnsi"/>
          <w:sz w:val="22"/>
        </w:rPr>
        <w:t>,</w:t>
      </w:r>
      <w:r>
        <w:rPr>
          <w:rFonts w:asciiTheme="minorHAnsi" w:hAnsiTheme="minorHAnsi" w:cstheme="minorHAnsi"/>
          <w:sz w:val="22"/>
        </w:rPr>
        <w:t xml:space="preserve"> a jednocześnie możliwości i potrzeby przedsiębiorstw, których </w:t>
      </w:r>
      <w:r w:rsidR="00B17503">
        <w:rPr>
          <w:rFonts w:asciiTheme="minorHAnsi" w:hAnsiTheme="minorHAnsi" w:cstheme="minorHAnsi"/>
          <w:sz w:val="22"/>
        </w:rPr>
        <w:t xml:space="preserve">dotyczy </w:t>
      </w:r>
      <w:r>
        <w:rPr>
          <w:rFonts w:asciiTheme="minorHAnsi" w:hAnsiTheme="minorHAnsi" w:cstheme="minorHAnsi"/>
          <w:sz w:val="22"/>
        </w:rPr>
        <w:t xml:space="preserve">dyrektywa </w:t>
      </w:r>
      <w:r w:rsidR="00B17503" w:rsidRPr="00B17503">
        <w:rPr>
          <w:rFonts w:asciiTheme="minorHAnsi" w:hAnsiTheme="minorHAnsi" w:cstheme="minorHAnsi"/>
          <w:sz w:val="22"/>
        </w:rPr>
        <w:t>2017/164/UE</w:t>
      </w:r>
      <w:r w:rsidR="00A93A41">
        <w:rPr>
          <w:rFonts w:asciiTheme="minorHAnsi" w:hAnsiTheme="minorHAnsi" w:cstheme="minorHAnsi"/>
          <w:sz w:val="22"/>
        </w:rPr>
        <w:t>,</w:t>
      </w:r>
      <w:r w:rsidR="00B17503" w:rsidRPr="000C744F">
        <w:rPr>
          <w:rFonts w:asciiTheme="minorHAnsi" w:hAnsiTheme="minorHAnsi" w:cstheme="minorHAnsi"/>
          <w:sz w:val="22"/>
        </w:rPr>
        <w:t xml:space="preserve"> </w:t>
      </w:r>
      <w:r w:rsidR="00900551" w:rsidRPr="000C744F">
        <w:rPr>
          <w:rFonts w:asciiTheme="minorHAnsi" w:hAnsiTheme="minorHAnsi" w:cstheme="minorHAnsi"/>
          <w:sz w:val="22"/>
        </w:rPr>
        <w:t>Związek Pracodawców Polska Miedź podkreśl</w:t>
      </w:r>
      <w:r>
        <w:rPr>
          <w:rFonts w:asciiTheme="minorHAnsi" w:hAnsiTheme="minorHAnsi" w:cstheme="minorHAnsi"/>
          <w:sz w:val="22"/>
        </w:rPr>
        <w:t>ił</w:t>
      </w:r>
      <w:r w:rsidR="00900551" w:rsidRPr="000C744F">
        <w:rPr>
          <w:rFonts w:asciiTheme="minorHAnsi" w:hAnsiTheme="minorHAnsi" w:cstheme="minorHAnsi"/>
          <w:sz w:val="22"/>
        </w:rPr>
        <w:t>, że w</w:t>
      </w:r>
      <w:r w:rsidR="00E3208C" w:rsidRPr="000C744F">
        <w:rPr>
          <w:rFonts w:asciiTheme="minorHAnsi" w:hAnsiTheme="minorHAnsi" w:cstheme="minorHAnsi"/>
          <w:sz w:val="22"/>
        </w:rPr>
        <w:t xml:space="preserve"> ciągu ostatnich lat europejski przemysł wydobywczy podjął </w:t>
      </w:r>
      <w:r w:rsidR="00E3208C" w:rsidRPr="00B227CA">
        <w:rPr>
          <w:rFonts w:asciiTheme="minorHAnsi" w:hAnsiTheme="minorHAnsi" w:cstheme="minorHAnsi"/>
          <w:sz w:val="22"/>
          <w:szCs w:val="22"/>
        </w:rPr>
        <w:t>znaczne wysiłki w celu dostosowania się do nowych limitów NDS dla tlenków azotu (</w:t>
      </w:r>
      <w:r w:rsidR="00900551" w:rsidRPr="00B227CA">
        <w:rPr>
          <w:rFonts w:asciiTheme="minorHAnsi" w:hAnsiTheme="minorHAnsi" w:cstheme="minorHAnsi"/>
          <w:sz w:val="22"/>
          <w:szCs w:val="22"/>
        </w:rPr>
        <w:t>zgodnie z dyrektywą 2017/164/UE</w:t>
      </w:r>
      <w:r w:rsidR="00E3208C" w:rsidRPr="00B227CA">
        <w:rPr>
          <w:rFonts w:asciiTheme="minorHAnsi" w:hAnsiTheme="minorHAnsi" w:cstheme="minorHAnsi"/>
          <w:sz w:val="22"/>
          <w:szCs w:val="22"/>
        </w:rPr>
        <w:t xml:space="preserve">). Zidentyfikowano, zbadano i wdrożono kompleksowe środki redukcji emisji i poziomu narażenia na nie. Jednak procesy dostosowawcze trwają dłużej niż oczekiwano, głównie ze względu na ograniczenia technologiczne i ich dostępność. Dotychczas w przedsiębiorstwach górniczych wdrożono działania mające na celu zmniejszenie poziomów narażenia w </w:t>
      </w:r>
      <w:r w:rsidR="00FB29AB" w:rsidRPr="00B227CA">
        <w:rPr>
          <w:rFonts w:asciiTheme="minorHAnsi" w:hAnsiTheme="minorHAnsi" w:cstheme="minorHAnsi"/>
          <w:sz w:val="22"/>
          <w:szCs w:val="22"/>
        </w:rPr>
        <w:t xml:space="preserve">takich </w:t>
      </w:r>
      <w:r w:rsidR="00E3208C" w:rsidRPr="00B227CA">
        <w:rPr>
          <w:rFonts w:asciiTheme="minorHAnsi" w:hAnsiTheme="minorHAnsi" w:cstheme="minorHAnsi"/>
          <w:sz w:val="22"/>
          <w:szCs w:val="22"/>
        </w:rPr>
        <w:t xml:space="preserve">obszarach jak: monitorowanie, mobilne maszyny i pojazdy górnicze, optymalizacja wentylacji kopalń, użycie niskoemisyjnych materiałów wybuchowych, zmiana procesów organizacyjnych. </w:t>
      </w:r>
      <w:r w:rsidR="00900551" w:rsidRPr="00B227CA">
        <w:rPr>
          <w:rFonts w:asciiTheme="minorHAnsi" w:hAnsiTheme="minorHAnsi" w:cstheme="minorHAnsi"/>
          <w:sz w:val="22"/>
          <w:szCs w:val="22"/>
        </w:rPr>
        <w:t xml:space="preserve">Jednak </w:t>
      </w:r>
      <w:r w:rsidR="00E3208C" w:rsidRPr="00B227CA">
        <w:rPr>
          <w:rFonts w:asciiTheme="minorHAnsi" w:hAnsiTheme="minorHAnsi" w:cstheme="minorHAnsi"/>
          <w:sz w:val="22"/>
          <w:szCs w:val="22"/>
        </w:rPr>
        <w:t xml:space="preserve">przedłużenie okresów przejściowych o dodatkowe 3 lata jest przy obecnym stanie technologii jedynym rozwiązaniem pozwalającym pogodzić </w:t>
      </w:r>
      <w:r w:rsidR="00900551" w:rsidRPr="00B227CA">
        <w:rPr>
          <w:rFonts w:asciiTheme="minorHAnsi" w:hAnsiTheme="minorHAnsi" w:cstheme="minorHAnsi"/>
          <w:sz w:val="22"/>
          <w:szCs w:val="22"/>
        </w:rPr>
        <w:t xml:space="preserve">wymagania </w:t>
      </w:r>
      <w:r w:rsidR="00E3208C" w:rsidRPr="00B227CA">
        <w:rPr>
          <w:rFonts w:asciiTheme="minorHAnsi" w:hAnsiTheme="minorHAnsi" w:cstheme="minorHAnsi"/>
          <w:sz w:val="22"/>
          <w:szCs w:val="22"/>
        </w:rPr>
        <w:t>Komisji Europejskiej z wymogiem zachowania efektywności i konkurencyjności branży oraz poziomu zatrudnienia w naszych zakładach produkcyjnych.</w:t>
      </w:r>
      <w:r w:rsidR="00543D2D" w:rsidRPr="00B227CA">
        <w:rPr>
          <w:rFonts w:asciiTheme="minorHAnsi" w:hAnsiTheme="minorHAnsi" w:cstheme="minorHAnsi"/>
          <w:sz w:val="22"/>
          <w:szCs w:val="22"/>
        </w:rPr>
        <w:t xml:space="preserve"> W</w:t>
      </w:r>
      <w:r w:rsidR="00543D2D" w:rsidRPr="00B227CA">
        <w:rPr>
          <w:rFonts w:asciiTheme="minorHAnsi" w:hAnsiTheme="minorHAnsi" w:cstheme="minorHAnsi"/>
          <w:color w:val="000000"/>
          <w:sz w:val="22"/>
          <w:szCs w:val="22"/>
        </w:rPr>
        <w:t xml:space="preserve"> grudniu 2022 r. zostało skierowane pismo do Komisji Europejskiej podpisane przez 10 stowarzyszeń reprezentujących przemysł wydobywczy Polski, Niemiec, Szwecji, Finlandii, Austrii, Hiszpanii, Portugalii, Węgier oraz Grecji, w którym zasygnalizowano potrzebę wydłużenia okresu przejściowego poprzez zmianę dyrektywy Komisji (UE) 2017/164. W odpowiedzi KE rekomendowała podjęcie prac nad przedłużeniem okresu przejściowego dla tlenku azotu na poziomie krajów </w:t>
      </w:r>
      <w:r w:rsidR="00543D2D" w:rsidRPr="00B227CA">
        <w:rPr>
          <w:rFonts w:asciiTheme="minorHAnsi" w:hAnsiTheme="minorHAnsi" w:cstheme="minorHAnsi"/>
          <w:color w:val="000000"/>
          <w:sz w:val="22"/>
          <w:szCs w:val="22"/>
        </w:rPr>
        <w:lastRenderedPageBreak/>
        <w:t>członkowskich oraz wprowadzenie tej zmiany do właściwego aktu prawnego w krajowym porządku prawnym.</w:t>
      </w:r>
    </w:p>
    <w:p w:rsidR="00374FA0" w:rsidRPr="00B227CA" w:rsidRDefault="00374FA0" w:rsidP="008A0336">
      <w:pPr>
        <w:spacing w:after="0" w:line="240" w:lineRule="auto"/>
        <w:jc w:val="both"/>
        <w:rPr>
          <w:rStyle w:val="Pogrubienie"/>
          <w:rFonts w:cstheme="minorHAnsi"/>
          <w:b w:val="0"/>
          <w:lang w:eastAsia="pl-PL"/>
        </w:rPr>
      </w:pPr>
      <w:bookmarkStart w:id="0" w:name="_GoBack"/>
      <w:bookmarkEnd w:id="0"/>
    </w:p>
    <w:p w:rsidR="00A04188" w:rsidRPr="00B227CA" w:rsidRDefault="000F71A3" w:rsidP="008A0336">
      <w:pPr>
        <w:spacing w:after="0" w:line="240" w:lineRule="auto"/>
        <w:jc w:val="both"/>
        <w:rPr>
          <w:rFonts w:cstheme="minorHAnsi"/>
          <w:b/>
        </w:rPr>
      </w:pPr>
      <w:r w:rsidRPr="00B227CA">
        <w:rPr>
          <w:rStyle w:val="Pogrubienie"/>
          <w:rFonts w:cstheme="minorHAnsi"/>
          <w:b w:val="0"/>
        </w:rPr>
        <w:t xml:space="preserve">Zgodnie z </w:t>
      </w:r>
      <w:r w:rsidR="00900551" w:rsidRPr="00B227CA">
        <w:rPr>
          <w:rStyle w:val="Pogrubienie"/>
          <w:rFonts w:cstheme="minorHAnsi"/>
          <w:b w:val="0"/>
        </w:rPr>
        <w:t>obecnymi</w:t>
      </w:r>
      <w:r w:rsidRPr="00B227CA">
        <w:rPr>
          <w:rStyle w:val="Pogrubienie"/>
          <w:rFonts w:cstheme="minorHAnsi"/>
          <w:b w:val="0"/>
        </w:rPr>
        <w:t xml:space="preserve"> przepisami </w:t>
      </w:r>
      <w:r w:rsidR="007A4516" w:rsidRPr="00B227CA">
        <w:rPr>
          <w:rFonts w:cstheme="minorHAnsi"/>
        </w:rPr>
        <w:t xml:space="preserve">NDS tlenku azotu określone dla sektora górnictwa podziemnego i budowy tuneli </w:t>
      </w:r>
      <w:r w:rsidR="00900551" w:rsidRPr="00B227CA">
        <w:rPr>
          <w:rFonts w:cstheme="minorHAnsi"/>
        </w:rPr>
        <w:t>na poziomie</w:t>
      </w:r>
      <w:r w:rsidR="007A4516" w:rsidRPr="00B227CA">
        <w:rPr>
          <w:rFonts w:cstheme="minorHAnsi"/>
        </w:rPr>
        <w:t xml:space="preserve"> 3,5 mg/m</w:t>
      </w:r>
      <w:r w:rsidR="007A4516" w:rsidRPr="00B227CA">
        <w:rPr>
          <w:rFonts w:cstheme="minorHAnsi"/>
          <w:vertAlign w:val="superscript"/>
        </w:rPr>
        <w:t>3</w:t>
      </w:r>
      <w:r w:rsidRPr="00B227CA">
        <w:rPr>
          <w:rFonts w:cstheme="minorHAnsi"/>
          <w:vertAlign w:val="superscript"/>
        </w:rPr>
        <w:t xml:space="preserve"> </w:t>
      </w:r>
      <w:r w:rsidR="00E662AF" w:rsidRPr="00B227CA">
        <w:rPr>
          <w:rFonts w:cstheme="minorHAnsi"/>
        </w:rPr>
        <w:t>oraz</w:t>
      </w:r>
      <w:r w:rsidRPr="00B227CA">
        <w:rPr>
          <w:rFonts w:cstheme="minorHAnsi"/>
        </w:rPr>
        <w:t xml:space="preserve"> wartość </w:t>
      </w:r>
      <w:r w:rsidR="008A1E8D" w:rsidRPr="00B227CA">
        <w:rPr>
          <w:rFonts w:cstheme="minorHAnsi"/>
        </w:rPr>
        <w:t xml:space="preserve">chwilowa </w:t>
      </w:r>
      <w:r w:rsidR="007A4516" w:rsidRPr="00B227CA">
        <w:rPr>
          <w:rStyle w:val="Pogrubienie"/>
          <w:rFonts w:cstheme="minorHAnsi"/>
          <w:b w:val="0"/>
        </w:rPr>
        <w:t>NDSCh</w:t>
      </w:r>
      <w:r w:rsidR="007A4516" w:rsidRPr="00B227CA">
        <w:rPr>
          <w:rFonts w:cstheme="minorHAnsi"/>
          <w:b/>
        </w:rPr>
        <w:t xml:space="preserve"> </w:t>
      </w:r>
      <w:r w:rsidR="00900551" w:rsidRPr="00B227CA">
        <w:rPr>
          <w:rFonts w:cstheme="minorHAnsi"/>
        </w:rPr>
        <w:t>na poziomie</w:t>
      </w:r>
      <w:r w:rsidR="00900551" w:rsidRPr="00B227CA">
        <w:rPr>
          <w:rFonts w:cstheme="minorHAnsi"/>
          <w:b/>
        </w:rPr>
        <w:t xml:space="preserve"> </w:t>
      </w:r>
      <w:r w:rsidR="007A4516" w:rsidRPr="00B227CA">
        <w:rPr>
          <w:rFonts w:cstheme="minorHAnsi"/>
        </w:rPr>
        <w:t>7 mg/m</w:t>
      </w:r>
      <w:r w:rsidR="007A4516" w:rsidRPr="00B227CA">
        <w:rPr>
          <w:rFonts w:cstheme="minorHAnsi"/>
          <w:vertAlign w:val="superscript"/>
        </w:rPr>
        <w:t>3</w:t>
      </w:r>
      <w:r w:rsidR="000C744F" w:rsidRPr="00B227CA">
        <w:rPr>
          <w:rFonts w:cstheme="minorHAnsi"/>
        </w:rPr>
        <w:t xml:space="preserve"> </w:t>
      </w:r>
      <w:r w:rsidR="00900551" w:rsidRPr="00B227CA">
        <w:rPr>
          <w:rFonts w:cstheme="minorHAnsi"/>
        </w:rPr>
        <w:t xml:space="preserve">będą obowiązywały </w:t>
      </w:r>
      <w:r w:rsidR="00A04188" w:rsidRPr="00B227CA">
        <w:rPr>
          <w:rFonts w:cstheme="minorHAnsi"/>
        </w:rPr>
        <w:t>jeszcze tylko do</w:t>
      </w:r>
      <w:r w:rsidR="00900551" w:rsidRPr="00B227CA">
        <w:rPr>
          <w:rFonts w:cstheme="minorHAnsi"/>
        </w:rPr>
        <w:t xml:space="preserve"> </w:t>
      </w:r>
      <w:r w:rsidR="007A4516" w:rsidRPr="00B227CA">
        <w:rPr>
          <w:rFonts w:cstheme="minorHAnsi"/>
        </w:rPr>
        <w:t>21 sierpnia 2023 r</w:t>
      </w:r>
      <w:r w:rsidR="00A93A41" w:rsidRPr="00B227CA">
        <w:rPr>
          <w:rFonts w:cstheme="minorHAnsi"/>
        </w:rPr>
        <w:t>oku</w:t>
      </w:r>
      <w:r w:rsidR="007A4516" w:rsidRPr="00B227CA">
        <w:rPr>
          <w:rFonts w:cstheme="minorHAnsi"/>
        </w:rPr>
        <w:t>.</w:t>
      </w:r>
      <w:r w:rsidR="00900551" w:rsidRPr="00B227CA">
        <w:rPr>
          <w:rFonts w:cstheme="minorHAnsi"/>
        </w:rPr>
        <w:t xml:space="preserve"> Po tym terminie </w:t>
      </w:r>
      <w:r w:rsidRPr="00B227CA">
        <w:rPr>
          <w:rFonts w:cstheme="minorHAnsi"/>
        </w:rPr>
        <w:t xml:space="preserve"> </w:t>
      </w:r>
      <w:r w:rsidR="00900551" w:rsidRPr="00B227CA">
        <w:rPr>
          <w:rFonts w:cstheme="minorHAnsi"/>
        </w:rPr>
        <w:t>pracodawc</w:t>
      </w:r>
      <w:r w:rsidR="000C744F" w:rsidRPr="00B227CA">
        <w:rPr>
          <w:rFonts w:cstheme="minorHAnsi"/>
        </w:rPr>
        <w:t>y</w:t>
      </w:r>
      <w:r w:rsidR="00900551" w:rsidRPr="00B227CA">
        <w:rPr>
          <w:rFonts w:cstheme="minorHAnsi"/>
        </w:rPr>
        <w:t xml:space="preserve"> powinn</w:t>
      </w:r>
      <w:r w:rsidR="000C744F" w:rsidRPr="00B227CA">
        <w:rPr>
          <w:rFonts w:cstheme="minorHAnsi"/>
        </w:rPr>
        <w:t>i</w:t>
      </w:r>
      <w:r w:rsidR="00900551" w:rsidRPr="00B227CA">
        <w:rPr>
          <w:rFonts w:cstheme="minorHAnsi"/>
        </w:rPr>
        <w:t xml:space="preserve"> już </w:t>
      </w:r>
      <w:r w:rsidR="000C744F" w:rsidRPr="00B227CA">
        <w:rPr>
          <w:rFonts w:cstheme="minorHAnsi"/>
        </w:rPr>
        <w:t xml:space="preserve">zmierzyć się z </w:t>
      </w:r>
      <w:r w:rsidR="00A04188" w:rsidRPr="00B227CA">
        <w:rPr>
          <w:rFonts w:cstheme="minorHAnsi"/>
        </w:rPr>
        <w:t xml:space="preserve">podaną w </w:t>
      </w:r>
      <w:r w:rsidR="00900551" w:rsidRPr="00B227CA">
        <w:rPr>
          <w:rFonts w:cstheme="minorHAnsi"/>
        </w:rPr>
        <w:t>dyrektyw</w:t>
      </w:r>
      <w:r w:rsidR="00A04188" w:rsidRPr="00B227CA">
        <w:rPr>
          <w:rFonts w:cstheme="minorHAnsi"/>
        </w:rPr>
        <w:t>ie</w:t>
      </w:r>
      <w:r w:rsidR="00900551" w:rsidRPr="00B227CA">
        <w:rPr>
          <w:rFonts w:cstheme="minorHAnsi"/>
        </w:rPr>
        <w:t xml:space="preserve"> 2017/164/UE wskaźnikow</w:t>
      </w:r>
      <w:r w:rsidR="000C744F" w:rsidRPr="00B227CA">
        <w:rPr>
          <w:rFonts w:cstheme="minorHAnsi"/>
        </w:rPr>
        <w:t>ą</w:t>
      </w:r>
      <w:r w:rsidR="00900551" w:rsidRPr="00B227CA">
        <w:rPr>
          <w:rFonts w:cstheme="minorHAnsi"/>
        </w:rPr>
        <w:t xml:space="preserve"> wartoś</w:t>
      </w:r>
      <w:r w:rsidR="000C744F" w:rsidRPr="00B227CA">
        <w:rPr>
          <w:rFonts w:cstheme="minorHAnsi"/>
        </w:rPr>
        <w:t>cią</w:t>
      </w:r>
      <w:r w:rsidR="00900551" w:rsidRPr="00B227CA">
        <w:rPr>
          <w:rFonts w:cstheme="minorHAnsi"/>
        </w:rPr>
        <w:t xml:space="preserve"> dopuszczaln</w:t>
      </w:r>
      <w:r w:rsidR="000C744F" w:rsidRPr="00B227CA">
        <w:rPr>
          <w:rFonts w:cstheme="minorHAnsi"/>
        </w:rPr>
        <w:t>ą</w:t>
      </w:r>
      <w:r w:rsidR="00900551" w:rsidRPr="00B227CA">
        <w:rPr>
          <w:rFonts w:cstheme="minorHAnsi"/>
        </w:rPr>
        <w:t xml:space="preserve"> na poziomie 2,5 mg/m</w:t>
      </w:r>
      <w:r w:rsidR="00900551" w:rsidRPr="00B227CA">
        <w:rPr>
          <w:rFonts w:cstheme="minorHAnsi"/>
          <w:vertAlign w:val="superscript"/>
        </w:rPr>
        <w:t>3</w:t>
      </w:r>
      <w:r w:rsidR="00900551" w:rsidRPr="00B227CA">
        <w:rPr>
          <w:rFonts w:cstheme="minorHAnsi"/>
        </w:rPr>
        <w:t xml:space="preserve"> (2 ppm) </w:t>
      </w:r>
      <w:r w:rsidR="00E662AF" w:rsidRPr="00B227CA">
        <w:rPr>
          <w:rFonts w:cstheme="minorHAnsi"/>
        </w:rPr>
        <w:t>–</w:t>
      </w:r>
      <w:r w:rsidR="000C744F" w:rsidRPr="00B227CA">
        <w:rPr>
          <w:rFonts w:cstheme="minorHAnsi"/>
        </w:rPr>
        <w:t xml:space="preserve"> </w:t>
      </w:r>
      <w:r w:rsidR="00900551" w:rsidRPr="00B227CA">
        <w:rPr>
          <w:rFonts w:cstheme="minorHAnsi"/>
        </w:rPr>
        <w:t>bez wartości krótkoterminowej (NDSCh).</w:t>
      </w:r>
      <w:r w:rsidR="00900551" w:rsidRPr="00B227CA">
        <w:rPr>
          <w:rFonts w:cstheme="minorHAnsi"/>
          <w:i/>
        </w:rPr>
        <w:t xml:space="preserve"> </w:t>
      </w:r>
      <w:r w:rsidR="00900551" w:rsidRPr="00B227CA">
        <w:rPr>
          <w:rFonts w:cstheme="minorHAnsi"/>
        </w:rPr>
        <w:t>J</w:t>
      </w:r>
      <w:r w:rsidRPr="00B227CA">
        <w:rPr>
          <w:rFonts w:cstheme="minorHAnsi"/>
        </w:rPr>
        <w:t xml:space="preserve">ednak wychodząc naprzeciw potrzebom </w:t>
      </w:r>
      <w:r w:rsidR="00900551" w:rsidRPr="00B227CA">
        <w:rPr>
          <w:rFonts w:cstheme="minorHAnsi"/>
        </w:rPr>
        <w:t xml:space="preserve">polskich </w:t>
      </w:r>
      <w:r w:rsidRPr="00B227CA">
        <w:rPr>
          <w:rFonts w:cstheme="minorHAnsi"/>
        </w:rPr>
        <w:t>przedsiębiorstw</w:t>
      </w:r>
      <w:r w:rsidR="00E662AF" w:rsidRPr="00B227CA">
        <w:rPr>
          <w:rFonts w:cstheme="minorHAnsi"/>
        </w:rPr>
        <w:t>,</w:t>
      </w:r>
      <w:r w:rsidRPr="00B227CA">
        <w:rPr>
          <w:rFonts w:cstheme="minorHAnsi"/>
        </w:rPr>
        <w:t xml:space="preserve"> </w:t>
      </w:r>
      <w:r w:rsidR="007A4516" w:rsidRPr="00B227CA">
        <w:rPr>
          <w:rFonts w:cstheme="minorHAnsi"/>
        </w:rPr>
        <w:t xml:space="preserve">Ministerstwo Rodziny i Polityki Społecznej zamierza utrzymać obecnie obowiązujące normy jeszcze przez </w:t>
      </w:r>
      <w:r w:rsidR="005C7782" w:rsidRPr="00B227CA">
        <w:rPr>
          <w:rFonts w:cstheme="minorHAnsi"/>
        </w:rPr>
        <w:t>3</w:t>
      </w:r>
      <w:r w:rsidR="007A4516" w:rsidRPr="00B227CA">
        <w:rPr>
          <w:rFonts w:cstheme="minorHAnsi"/>
        </w:rPr>
        <w:t xml:space="preserve"> lata –</w:t>
      </w:r>
      <w:r w:rsidR="007A4516" w:rsidRPr="00B227CA">
        <w:rPr>
          <w:rFonts w:cstheme="minorHAnsi"/>
          <w:b/>
        </w:rPr>
        <w:t xml:space="preserve"> do </w:t>
      </w:r>
      <w:r w:rsidR="007A4516" w:rsidRPr="00B227CA">
        <w:rPr>
          <w:rStyle w:val="Pogrubienie"/>
          <w:rFonts w:cstheme="minorHAnsi"/>
        </w:rPr>
        <w:t>21 sierpnia 2026 r</w:t>
      </w:r>
      <w:r w:rsidR="00A93A41" w:rsidRPr="00B227CA">
        <w:rPr>
          <w:rStyle w:val="Pogrubienie"/>
          <w:rFonts w:cstheme="minorHAnsi"/>
        </w:rPr>
        <w:t>oku</w:t>
      </w:r>
      <w:r w:rsidR="007A4516" w:rsidRPr="00B227CA">
        <w:rPr>
          <w:rFonts w:cstheme="minorHAnsi"/>
        </w:rPr>
        <w:t>.</w:t>
      </w:r>
      <w:r w:rsidR="000C744F" w:rsidRPr="00B227CA">
        <w:rPr>
          <w:rFonts w:cstheme="minorHAnsi"/>
          <w:b/>
        </w:rPr>
        <w:t xml:space="preserve"> </w:t>
      </w:r>
    </w:p>
    <w:p w:rsidR="00374FA0" w:rsidRPr="00B227CA" w:rsidRDefault="00374FA0" w:rsidP="00374FA0">
      <w:pPr>
        <w:spacing w:line="240" w:lineRule="auto"/>
        <w:rPr>
          <w:rFonts w:cstheme="minorHAnsi"/>
        </w:rPr>
      </w:pPr>
    </w:p>
    <w:p w:rsidR="00374FA0" w:rsidRDefault="00374FA0" w:rsidP="00374FA0">
      <w:pPr>
        <w:pStyle w:val="NormalnyWeb"/>
        <w:spacing w:before="0" w:beforeAutospacing="0" w:after="0" w:afterAutospacing="0"/>
        <w:jc w:val="both"/>
        <w:rPr>
          <w:rFonts w:ascii="Calibri" w:hAnsi="Calibri"/>
          <w:noProof/>
          <w:sz w:val="22"/>
          <w:szCs w:val="22"/>
        </w:rPr>
      </w:pPr>
      <w:r w:rsidRPr="009C2296">
        <w:rPr>
          <w:rFonts w:ascii="Calibri" w:hAnsi="Calibri"/>
          <w:noProof/>
          <w:sz w:val="22"/>
          <w:szCs w:val="22"/>
        </w:rPr>
        <w:drawing>
          <wp:inline distT="0" distB="0" distL="0" distR="0" wp14:anchorId="3B607E45" wp14:editId="7FD8F70D">
            <wp:extent cx="1674495" cy="264160"/>
            <wp:effectExtent l="0" t="0" r="1905" b="254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FA0" w:rsidRDefault="00374FA0" w:rsidP="00374FA0">
      <w:pPr>
        <w:pStyle w:val="NormalnyWeb"/>
        <w:spacing w:before="0" w:beforeAutospacing="0" w:after="0" w:afterAutospacing="0"/>
        <w:jc w:val="both"/>
        <w:rPr>
          <w:rFonts w:ascii="Calibri" w:hAnsi="Calibri"/>
          <w:noProof/>
          <w:sz w:val="22"/>
          <w:szCs w:val="22"/>
        </w:rPr>
      </w:pPr>
    </w:p>
    <w:p w:rsidR="00374FA0" w:rsidRDefault="00374FA0" w:rsidP="00374FA0">
      <w:pPr>
        <w:pStyle w:val="NormalnyWeb"/>
        <w:spacing w:before="0" w:beforeAutospacing="0" w:after="0" w:afterAutospacing="0"/>
        <w:jc w:val="both"/>
        <w:rPr>
          <w:rFonts w:ascii="Calibri" w:hAnsi="Calibri"/>
          <w:noProof/>
          <w:sz w:val="22"/>
          <w:szCs w:val="22"/>
        </w:rPr>
      </w:pPr>
    </w:p>
    <w:p w:rsidR="00374FA0" w:rsidRPr="009C2296" w:rsidRDefault="00374FA0" w:rsidP="00374FA0">
      <w:pPr>
        <w:pStyle w:val="NormalnyWeb"/>
        <w:spacing w:before="0" w:beforeAutospacing="0" w:after="0" w:afterAutospacing="0"/>
        <w:jc w:val="both"/>
        <w:rPr>
          <w:rStyle w:val="rvts18"/>
          <w:rFonts w:ascii="Calibri" w:hAnsi="Calibri"/>
        </w:rPr>
      </w:pPr>
    </w:p>
    <w:p w:rsidR="00374FA0" w:rsidRDefault="00374FA0" w:rsidP="00374FA0">
      <w:pPr>
        <w:pStyle w:val="Default"/>
        <w:pBdr>
          <w:top w:val="single" w:sz="4" w:space="1" w:color="auto"/>
        </w:pBdr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:rsidR="00374FA0" w:rsidRPr="008A0336" w:rsidRDefault="00374FA0" w:rsidP="00374FA0">
      <w:pPr>
        <w:pStyle w:val="Default"/>
        <w:pBdr>
          <w:top w:val="single" w:sz="4" w:space="1" w:color="auto"/>
        </w:pBdr>
        <w:jc w:val="both"/>
        <w:rPr>
          <w:rFonts w:ascii="Times New Roman" w:hAnsi="Times New Roman" w:cs="Times New Roman"/>
          <w:b/>
          <w:color w:val="auto"/>
          <w:sz w:val="21"/>
          <w:szCs w:val="21"/>
        </w:rPr>
      </w:pPr>
      <w:r w:rsidRPr="008A0336">
        <w:rPr>
          <w:rFonts w:ascii="Times New Roman" w:hAnsi="Times New Roman" w:cs="Times New Roman"/>
          <w:b/>
          <w:color w:val="auto"/>
          <w:sz w:val="21"/>
          <w:szCs w:val="21"/>
        </w:rPr>
        <w:t>Kontakt dla mediów w sprawie prac Komisji:</w:t>
      </w:r>
    </w:p>
    <w:p w:rsidR="00374FA0" w:rsidRDefault="00374FA0" w:rsidP="00374FA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dr Jolanta Skowroń, sekretarz Międzyresortowej Komisji ds. Najwyższych Dopuszczalnych Stężeń</w:t>
      </w:r>
      <w:r w:rsidR="00016ACA"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</w:rPr>
        <w:t>i</w:t>
      </w:r>
      <w:r w:rsidR="00016ACA"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</w:rPr>
        <w:t xml:space="preserve">Natężeń Czynników Szkodliwych dla Zdrowia </w:t>
      </w:r>
      <w:r w:rsidR="00016ACA">
        <w:rPr>
          <w:rFonts w:ascii="Times New Roman" w:hAnsi="Times New Roman" w:cs="Times New Roman"/>
          <w:sz w:val="22"/>
          <w:szCs w:val="22"/>
        </w:rPr>
        <w:t>w</w:t>
      </w:r>
      <w:r>
        <w:rPr>
          <w:rFonts w:ascii="Times New Roman" w:hAnsi="Times New Roman" w:cs="Times New Roman"/>
          <w:sz w:val="22"/>
          <w:szCs w:val="22"/>
        </w:rPr>
        <w:t xml:space="preserve"> Środowisk</w:t>
      </w:r>
      <w:r w:rsidR="00016ACA">
        <w:rPr>
          <w:rFonts w:ascii="Times New Roman" w:hAnsi="Times New Roman" w:cs="Times New Roman"/>
          <w:sz w:val="22"/>
          <w:szCs w:val="22"/>
        </w:rPr>
        <w:t>u</w:t>
      </w:r>
      <w:r>
        <w:rPr>
          <w:rFonts w:ascii="Times New Roman" w:hAnsi="Times New Roman" w:cs="Times New Roman"/>
          <w:sz w:val="22"/>
          <w:szCs w:val="22"/>
        </w:rPr>
        <w:t xml:space="preserve"> Pracy</w:t>
      </w:r>
    </w:p>
    <w:p w:rsidR="00374FA0" w:rsidRPr="00FE1A2E" w:rsidRDefault="00374FA0" w:rsidP="00374FA0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FE1A2E">
        <w:rPr>
          <w:rFonts w:ascii="Times New Roman" w:hAnsi="Times New Roman" w:cs="Times New Roman"/>
          <w:color w:val="auto"/>
          <w:sz w:val="21"/>
          <w:szCs w:val="21"/>
        </w:rPr>
        <w:t>Centralny Instytut Ochrony Pracy – Państwowy Instytut Badawczy</w:t>
      </w:r>
    </w:p>
    <w:p w:rsidR="00374FA0" w:rsidRPr="00FE1A2E" w:rsidRDefault="00374FA0" w:rsidP="00374FA0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  <w:lang w:val="en-US"/>
        </w:rPr>
      </w:pPr>
      <w:r w:rsidRPr="00FE1A2E">
        <w:rPr>
          <w:rFonts w:ascii="Times New Roman" w:hAnsi="Times New Roman" w:cs="Times New Roman"/>
          <w:color w:val="auto"/>
          <w:sz w:val="21"/>
          <w:szCs w:val="21"/>
          <w:lang w:val="en-US"/>
        </w:rPr>
        <w:t>e-mail:</w:t>
      </w:r>
      <w:r>
        <w:rPr>
          <w:rFonts w:ascii="Times New Roman" w:hAnsi="Times New Roman" w:cs="Times New Roman"/>
          <w:color w:val="auto"/>
          <w:sz w:val="21"/>
          <w:szCs w:val="21"/>
          <w:lang w:val="en-US"/>
        </w:rPr>
        <w:t xml:space="preserve"> </w:t>
      </w:r>
      <w:hyperlink r:id="rId8" w:history="1">
        <w:r w:rsidRPr="00B30C2C">
          <w:rPr>
            <w:rStyle w:val="Hipercze"/>
            <w:rFonts w:ascii="Times New Roman" w:hAnsi="Times New Roman" w:cs="Times New Roman"/>
            <w:sz w:val="21"/>
            <w:szCs w:val="21"/>
            <w:lang w:val="en-US"/>
          </w:rPr>
          <w:t>josko@ciop.pl</w:t>
        </w:r>
      </w:hyperlink>
      <w:r>
        <w:rPr>
          <w:rFonts w:ascii="Times New Roman" w:hAnsi="Times New Roman" w:cs="Times New Roman"/>
          <w:color w:val="auto"/>
          <w:sz w:val="21"/>
          <w:szCs w:val="21"/>
          <w:lang w:val="en-US"/>
        </w:rPr>
        <w:t xml:space="preserve">, </w:t>
      </w:r>
      <w:r w:rsidRPr="00FE1A2E">
        <w:rPr>
          <w:rFonts w:ascii="Times New Roman" w:hAnsi="Times New Roman" w:cs="Times New Roman"/>
          <w:color w:val="auto"/>
          <w:sz w:val="21"/>
          <w:szCs w:val="21"/>
          <w:lang w:val="en-US"/>
        </w:rPr>
        <w:t xml:space="preserve">tel. </w:t>
      </w:r>
      <w:r>
        <w:rPr>
          <w:rFonts w:ascii="Times New Roman" w:hAnsi="Times New Roman" w:cs="Times New Roman"/>
          <w:color w:val="auto"/>
          <w:sz w:val="21"/>
          <w:szCs w:val="21"/>
          <w:lang w:val="en-US"/>
        </w:rPr>
        <w:t>22 </w:t>
      </w:r>
      <w:r w:rsidRPr="00FE1A2E">
        <w:rPr>
          <w:rFonts w:ascii="Times New Roman" w:hAnsi="Times New Roman" w:cs="Times New Roman"/>
          <w:color w:val="auto"/>
          <w:sz w:val="21"/>
          <w:szCs w:val="21"/>
          <w:lang w:val="en-US"/>
        </w:rPr>
        <w:t>6</w:t>
      </w:r>
      <w:r>
        <w:rPr>
          <w:rFonts w:ascii="Times New Roman" w:hAnsi="Times New Roman" w:cs="Times New Roman"/>
          <w:color w:val="auto"/>
          <w:sz w:val="21"/>
          <w:szCs w:val="21"/>
          <w:lang w:val="en-US"/>
        </w:rPr>
        <w:t>23 46 80</w:t>
      </w:r>
    </w:p>
    <w:p w:rsidR="00374FA0" w:rsidRPr="009C2296" w:rsidRDefault="00374FA0" w:rsidP="00374FA0">
      <w:pPr>
        <w:pStyle w:val="Default"/>
        <w:jc w:val="both"/>
        <w:rPr>
          <w:rFonts w:cs="Verdana"/>
          <w:color w:val="auto"/>
          <w:sz w:val="21"/>
          <w:szCs w:val="21"/>
          <w:lang w:val="en-US"/>
        </w:rPr>
      </w:pPr>
    </w:p>
    <w:p w:rsidR="00374FA0" w:rsidRPr="005E376B" w:rsidRDefault="00374FA0" w:rsidP="00374FA0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  <w:lang w:val="en-US"/>
        </w:rPr>
      </w:pPr>
    </w:p>
    <w:p w:rsidR="00374FA0" w:rsidRPr="008A0336" w:rsidRDefault="00374FA0" w:rsidP="00374FA0">
      <w:pPr>
        <w:pStyle w:val="Default"/>
        <w:jc w:val="both"/>
        <w:rPr>
          <w:rFonts w:ascii="Times New Roman" w:hAnsi="Times New Roman" w:cs="Times New Roman"/>
          <w:b/>
          <w:color w:val="auto"/>
          <w:sz w:val="21"/>
          <w:szCs w:val="21"/>
        </w:rPr>
      </w:pPr>
      <w:r w:rsidRPr="008A0336">
        <w:rPr>
          <w:rFonts w:ascii="Times New Roman" w:hAnsi="Times New Roman" w:cs="Times New Roman"/>
          <w:b/>
          <w:color w:val="auto"/>
          <w:sz w:val="21"/>
          <w:szCs w:val="21"/>
        </w:rPr>
        <w:t>Kontakt dla mediów w sprawie działalności Instytutu:</w:t>
      </w:r>
    </w:p>
    <w:p w:rsidR="00374FA0" w:rsidRPr="009C2296" w:rsidRDefault="00374FA0" w:rsidP="00374FA0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9C2296">
        <w:rPr>
          <w:rFonts w:ascii="Times New Roman" w:hAnsi="Times New Roman" w:cs="Times New Roman"/>
          <w:color w:val="auto"/>
          <w:sz w:val="21"/>
          <w:szCs w:val="21"/>
        </w:rPr>
        <w:t>Agnieszka Szczygielska, Kierownik Ośrodka Promocji i Wdrażan</w:t>
      </w:r>
      <w:r w:rsidR="00A93A41">
        <w:rPr>
          <w:rFonts w:ascii="Times New Roman" w:hAnsi="Times New Roman" w:cs="Times New Roman"/>
          <w:color w:val="auto"/>
          <w:sz w:val="21"/>
          <w:szCs w:val="21"/>
        </w:rPr>
        <w:t>i</w:t>
      </w:r>
      <w:r w:rsidRPr="009C2296">
        <w:rPr>
          <w:rFonts w:ascii="Times New Roman" w:hAnsi="Times New Roman" w:cs="Times New Roman"/>
          <w:color w:val="auto"/>
          <w:sz w:val="21"/>
          <w:szCs w:val="21"/>
        </w:rPr>
        <w:t>a</w:t>
      </w:r>
    </w:p>
    <w:p w:rsidR="00374FA0" w:rsidRPr="009C2296" w:rsidRDefault="00374FA0" w:rsidP="00374FA0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9C2296">
        <w:rPr>
          <w:rFonts w:ascii="Times New Roman" w:hAnsi="Times New Roman" w:cs="Times New Roman"/>
          <w:color w:val="auto"/>
          <w:sz w:val="21"/>
          <w:szCs w:val="21"/>
        </w:rPr>
        <w:t>Centralny Instytut Ochrony Pracy – Państwowy Instytut Badawczy</w:t>
      </w:r>
    </w:p>
    <w:p w:rsidR="00374FA0" w:rsidRDefault="00374FA0" w:rsidP="00374FA0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  <w:lang w:val="en-US"/>
        </w:rPr>
      </w:pPr>
      <w:r w:rsidRPr="009C2296">
        <w:rPr>
          <w:rFonts w:ascii="Times New Roman" w:hAnsi="Times New Roman" w:cs="Times New Roman"/>
          <w:color w:val="auto"/>
          <w:sz w:val="21"/>
          <w:szCs w:val="21"/>
          <w:lang w:val="en-US"/>
        </w:rPr>
        <w:t xml:space="preserve">e-mail: </w:t>
      </w:r>
      <w:hyperlink r:id="rId9" w:history="1">
        <w:r w:rsidR="00B227CA" w:rsidRPr="00B227CA">
          <w:rPr>
            <w:rStyle w:val="Hipercze"/>
            <w:rFonts w:ascii="Times New Roman" w:hAnsi="Times New Roman" w:cs="Times New Roman"/>
            <w:sz w:val="21"/>
            <w:szCs w:val="21"/>
            <w:lang w:val="en-US"/>
          </w:rPr>
          <w:t>agasz@ciop.pl</w:t>
        </w:r>
      </w:hyperlink>
      <w:r w:rsidR="00B227CA">
        <w:rPr>
          <w:rFonts w:ascii="Times New Roman" w:hAnsi="Times New Roman" w:cs="Times New Roman"/>
          <w:color w:val="auto"/>
          <w:sz w:val="21"/>
          <w:szCs w:val="21"/>
          <w:lang w:val="en-US"/>
        </w:rPr>
        <w:t xml:space="preserve">, </w:t>
      </w:r>
      <w:hyperlink r:id="rId10" w:history="1"/>
      <w:r w:rsidRPr="009C2296">
        <w:rPr>
          <w:rFonts w:ascii="Times New Roman" w:hAnsi="Times New Roman" w:cs="Times New Roman"/>
          <w:color w:val="auto"/>
          <w:sz w:val="21"/>
          <w:szCs w:val="21"/>
          <w:lang w:val="en-US"/>
        </w:rPr>
        <w:t>tel. 22 623 36 86</w:t>
      </w:r>
    </w:p>
    <w:p w:rsidR="00374FA0" w:rsidRDefault="00374FA0" w:rsidP="00374FA0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  <w:lang w:val="en-US"/>
        </w:rPr>
      </w:pPr>
    </w:p>
    <w:p w:rsidR="00374FA0" w:rsidRPr="009C2296" w:rsidRDefault="00374FA0" w:rsidP="00374FA0">
      <w:pPr>
        <w:pStyle w:val="Default"/>
        <w:jc w:val="both"/>
        <w:rPr>
          <w:lang w:val="en-US"/>
        </w:rPr>
      </w:pPr>
      <w:r>
        <w:rPr>
          <w:rFonts w:ascii="Times New Roman" w:hAnsi="Times New Roman" w:cs="Times New Roman"/>
          <w:color w:val="auto"/>
          <w:sz w:val="21"/>
          <w:szCs w:val="21"/>
          <w:lang w:val="en-US"/>
        </w:rPr>
        <w:t>www.ciop.pl</w:t>
      </w:r>
    </w:p>
    <w:p w:rsidR="00374FA0" w:rsidRPr="00FE1A2E" w:rsidRDefault="00374FA0" w:rsidP="00374FA0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374FA0" w:rsidRPr="000C744F" w:rsidRDefault="00374FA0" w:rsidP="00374FA0">
      <w:pPr>
        <w:spacing w:line="240" w:lineRule="auto"/>
        <w:rPr>
          <w:rFonts w:cstheme="minorHAnsi"/>
          <w:szCs w:val="24"/>
        </w:rPr>
      </w:pPr>
    </w:p>
    <w:sectPr w:rsidR="00374FA0" w:rsidRPr="000C744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074" w:rsidRDefault="008C7074" w:rsidP="000C744F">
      <w:pPr>
        <w:spacing w:after="0" w:line="240" w:lineRule="auto"/>
      </w:pPr>
      <w:r>
        <w:separator/>
      </w:r>
    </w:p>
  </w:endnote>
  <w:endnote w:type="continuationSeparator" w:id="0">
    <w:p w:rsidR="008C7074" w:rsidRDefault="008C7074" w:rsidP="000C7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074" w:rsidRDefault="008C7074" w:rsidP="000C744F">
      <w:pPr>
        <w:spacing w:after="0" w:line="240" w:lineRule="auto"/>
      </w:pPr>
      <w:r>
        <w:separator/>
      </w:r>
    </w:p>
  </w:footnote>
  <w:footnote w:type="continuationSeparator" w:id="0">
    <w:p w:rsidR="008C7074" w:rsidRDefault="008C7074" w:rsidP="000C7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44F" w:rsidRDefault="000C744F" w:rsidP="000C744F">
    <w:pPr>
      <w:pStyle w:val="Nagwek"/>
      <w:jc w:val="right"/>
    </w:pPr>
    <w:r>
      <w:t>Materiał prasowy</w:t>
    </w:r>
  </w:p>
  <w:p w:rsidR="000C744F" w:rsidRDefault="000C744F" w:rsidP="000C744F">
    <w:pPr>
      <w:pStyle w:val="Nagwek"/>
      <w:jc w:val="right"/>
    </w:pPr>
    <w:r>
      <w:t>05.07.2023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1BF"/>
    <w:rsid w:val="00016ACA"/>
    <w:rsid w:val="000B31D3"/>
    <w:rsid w:val="000B7716"/>
    <w:rsid w:val="000C744F"/>
    <w:rsid w:val="000E01D9"/>
    <w:rsid w:val="000F71A3"/>
    <w:rsid w:val="001E59A0"/>
    <w:rsid w:val="00210718"/>
    <w:rsid w:val="00240CD2"/>
    <w:rsid w:val="00242BBF"/>
    <w:rsid w:val="002D5661"/>
    <w:rsid w:val="00374FA0"/>
    <w:rsid w:val="003D71DE"/>
    <w:rsid w:val="003E5127"/>
    <w:rsid w:val="00466315"/>
    <w:rsid w:val="00466CC6"/>
    <w:rsid w:val="00543D2D"/>
    <w:rsid w:val="005B55FA"/>
    <w:rsid w:val="005C7782"/>
    <w:rsid w:val="0074759D"/>
    <w:rsid w:val="00767234"/>
    <w:rsid w:val="007A4516"/>
    <w:rsid w:val="008901BF"/>
    <w:rsid w:val="008A0336"/>
    <w:rsid w:val="008A1E8D"/>
    <w:rsid w:val="008C7074"/>
    <w:rsid w:val="00900551"/>
    <w:rsid w:val="009802FE"/>
    <w:rsid w:val="00982629"/>
    <w:rsid w:val="00996243"/>
    <w:rsid w:val="009F3DF7"/>
    <w:rsid w:val="00A04188"/>
    <w:rsid w:val="00A30E68"/>
    <w:rsid w:val="00A530DE"/>
    <w:rsid w:val="00A93A41"/>
    <w:rsid w:val="00AF5402"/>
    <w:rsid w:val="00B035FB"/>
    <w:rsid w:val="00B040E1"/>
    <w:rsid w:val="00B055F0"/>
    <w:rsid w:val="00B164F7"/>
    <w:rsid w:val="00B17503"/>
    <w:rsid w:val="00B227CA"/>
    <w:rsid w:val="00B309EA"/>
    <w:rsid w:val="00B60602"/>
    <w:rsid w:val="00BD6034"/>
    <w:rsid w:val="00C57EC8"/>
    <w:rsid w:val="00C61B9D"/>
    <w:rsid w:val="00D15C66"/>
    <w:rsid w:val="00D17806"/>
    <w:rsid w:val="00D30F57"/>
    <w:rsid w:val="00D340B2"/>
    <w:rsid w:val="00D615BC"/>
    <w:rsid w:val="00E3208C"/>
    <w:rsid w:val="00E506D7"/>
    <w:rsid w:val="00E662AF"/>
    <w:rsid w:val="00E912D6"/>
    <w:rsid w:val="00EA4821"/>
    <w:rsid w:val="00EF0724"/>
    <w:rsid w:val="00F22DFE"/>
    <w:rsid w:val="00FB29AB"/>
    <w:rsid w:val="00FE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07473-56A9-434F-8866-E032390D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90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912D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C7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744F"/>
  </w:style>
  <w:style w:type="paragraph" w:styleId="Stopka">
    <w:name w:val="footer"/>
    <w:basedOn w:val="Normalny"/>
    <w:link w:val="StopkaZnak"/>
    <w:uiPriority w:val="99"/>
    <w:unhideWhenUsed/>
    <w:rsid w:val="000C7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744F"/>
  </w:style>
  <w:style w:type="character" w:customStyle="1" w:styleId="rvts18">
    <w:name w:val="rvts18"/>
    <w:basedOn w:val="Domylnaczcionkaakapitu"/>
    <w:rsid w:val="00374FA0"/>
  </w:style>
  <w:style w:type="paragraph" w:customStyle="1" w:styleId="Default">
    <w:name w:val="Default"/>
    <w:rsid w:val="00374FA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uiPriority w:val="99"/>
    <w:unhideWhenUsed/>
    <w:rsid w:val="00374FA0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1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B9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07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07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07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07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07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2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ko@ciop.p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gasz@ci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1010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dcterms:created xsi:type="dcterms:W3CDTF">2023-07-05T14:20:00Z</dcterms:created>
  <dcterms:modified xsi:type="dcterms:W3CDTF">2023-07-05T14:21:00Z</dcterms:modified>
</cp:coreProperties>
</file>